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华文中宋" w:hAnsi="华文中宋" w:eastAsia="华文中宋"/>
          <w:sz w:val="44"/>
          <w:szCs w:val="44"/>
        </w:rPr>
      </w:pPr>
      <w:r>
        <w:rPr>
          <w:rFonts w:hint="eastAsia" w:ascii="华文中宋" w:hAnsi="华文中宋" w:eastAsia="华文中宋"/>
          <w:sz w:val="44"/>
          <w:szCs w:val="44"/>
        </w:rPr>
        <w:t>桥西区</w:t>
      </w:r>
      <w:r>
        <w:rPr>
          <w:rFonts w:hint="eastAsia" w:ascii="华文中宋" w:hAnsi="华文中宋" w:eastAsia="华文中宋"/>
          <w:sz w:val="44"/>
          <w:szCs w:val="44"/>
          <w:lang w:eastAsia="zh-CN"/>
        </w:rPr>
        <w:t>纪委</w:t>
      </w:r>
      <w:r>
        <w:rPr>
          <w:rFonts w:hint="eastAsia" w:ascii="华文中宋" w:hAnsi="华文中宋" w:eastAsia="华文中宋"/>
          <w:sz w:val="44"/>
          <w:szCs w:val="44"/>
        </w:rPr>
        <w:t>整体支出绩效评价报告</w:t>
      </w:r>
    </w:p>
    <w:p>
      <w:pPr>
        <w:spacing w:line="560" w:lineRule="exact"/>
        <w:ind w:firstLine="640" w:firstLineChars="200"/>
        <w:rPr>
          <w:rFonts w:ascii="仿宋" w:hAnsi="仿宋" w:eastAsia="仿宋"/>
          <w:sz w:val="32"/>
          <w:szCs w:val="32"/>
        </w:rPr>
      </w:pP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总体概况</w:t>
      </w:r>
    </w:p>
    <w:p>
      <w:pPr>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 xml:space="preserve">（一）机构职能与组成 </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机构职能</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根据《桥西区纪检委职能配置、内设机构和人员编制规定》， 桥西区纪检委的主要职责是：</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败工作。</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依照党的章程和其他党内法规履行监督、执纪、问责职责。负责经常对党员进行遵守纪律的教育,作出关于维护党纪的决定;对区委工作机关、区委批准设立的党组(党委)、镇街党委(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（3）支持配合巡视巡察工作。承担巡察整改日常监督责任，做好巡察整改督查督办工作,依规依纪依法处置巡视巡察移交的反映领导干部间题线索。</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（4）负责全区监察工作。贯彻落实党中央、省委、市委和区委关于监察工作的决策部暑，维护宪法法律,依法对区委管理的行使公权力的公职人员进行监察,调查职务违法和职务犯罪,开展廉政建设和反腐败工作。</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5）依照法律规定履行监督、调查、处置职责。推动开展廉政教育,对区委管理的行使公权力的公职人员依法履职、秉公用权、廉洁从政从业以及道德操守情况进行监督检查;对涉嫌贪污贿赂、溢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（6）负责组织协调全面从严治党、党风廉政建设和反腐败宣传教育工作。</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（7）负责综合分析全面从严治党、党风廉政建设和反腐败工作情况,对纪检监察工作重要理论及实践问题进行调查研究;参与起草纪检监察有关规范性文件。</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（8）负责组织协调全区反腐败追逃追赃和防逃工作,督促有关单位做好相关工作。</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9）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干部人事工作。会同有关方面做好区纪委监委派驻机构、镇街纪委领导班子建设有关工作;组织和指导全区纪检监察系统干部教育培训工作等。</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（10）完成市纪委、市监委、区委交办的其他任务。</w:t>
      </w:r>
    </w:p>
    <w:p>
      <w:pPr>
        <w:spacing w:line="60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机构设置</w:t>
      </w:r>
    </w:p>
    <w:p>
      <w:pPr>
        <w:snapToGrid w:val="0"/>
        <w:spacing w:line="600" w:lineRule="exact"/>
        <w:ind w:firstLine="640" w:firstLineChars="200"/>
        <w:rPr>
          <w:rFonts w:hint="eastAsia" w:ascii="仿宋_GB2312" w:hAnsi="仿宋" w:eastAsia="仿宋_GB2312" w:cs="Times New Roman"/>
          <w:sz w:val="32"/>
          <w:szCs w:val="32"/>
        </w:rPr>
      </w:pPr>
      <w:r>
        <w:rPr>
          <w:rFonts w:hint="eastAsia" w:ascii="仿宋_GB2312" w:eastAsia="仿宋_GB2312"/>
          <w:sz w:val="32"/>
          <w:szCs w:val="32"/>
        </w:rPr>
        <w:t>根据“三定方案”规定，</w:t>
      </w:r>
      <w:r>
        <w:rPr>
          <w:rFonts w:hint="eastAsia" w:ascii="仿宋_GB2312" w:hAnsi="仿宋" w:eastAsia="仿宋_GB2312" w:cs="Times New Roman"/>
          <w:sz w:val="32"/>
          <w:szCs w:val="32"/>
        </w:rPr>
        <w:t>桥西区纪检委设办公室、组织部、案件监督管理室、党风政风监督室、案件审理室、第一</w:t>
      </w:r>
      <w:r>
        <w:rPr>
          <w:rFonts w:hint="eastAsia" w:ascii="仿宋_GB2312" w:hAnsi="仿宋" w:eastAsia="仿宋_GB2312" w:cs="Times New Roman"/>
          <w:sz w:val="32"/>
          <w:szCs w:val="32"/>
          <w:lang w:eastAsia="zh-CN"/>
        </w:rPr>
        <w:t>监督检查</w:t>
      </w:r>
      <w:r>
        <w:rPr>
          <w:rFonts w:hint="eastAsia" w:ascii="仿宋_GB2312" w:hAnsi="仿宋" w:eastAsia="仿宋_GB2312" w:cs="Times New Roman"/>
          <w:sz w:val="32"/>
          <w:szCs w:val="32"/>
        </w:rPr>
        <w:t>室、第二</w:t>
      </w:r>
      <w:r>
        <w:rPr>
          <w:rFonts w:hint="eastAsia" w:ascii="仿宋_GB2312" w:hAnsi="仿宋" w:eastAsia="仿宋_GB2312" w:cs="Times New Roman"/>
          <w:sz w:val="32"/>
          <w:szCs w:val="32"/>
          <w:lang w:eastAsia="zh-CN"/>
        </w:rPr>
        <w:t>监督检查</w:t>
      </w:r>
      <w:r>
        <w:rPr>
          <w:rFonts w:hint="eastAsia" w:ascii="仿宋_GB2312" w:hAnsi="仿宋" w:eastAsia="仿宋_GB2312" w:cs="Times New Roman"/>
          <w:sz w:val="32"/>
          <w:szCs w:val="32"/>
        </w:rPr>
        <w:t>室、第三</w:t>
      </w:r>
      <w:r>
        <w:rPr>
          <w:rFonts w:hint="eastAsia" w:ascii="仿宋_GB2312" w:hAnsi="仿宋" w:eastAsia="仿宋_GB2312" w:cs="Times New Roman"/>
          <w:sz w:val="32"/>
          <w:szCs w:val="32"/>
          <w:lang w:eastAsia="zh-CN"/>
        </w:rPr>
        <w:t>监督检查</w:t>
      </w:r>
      <w:r>
        <w:rPr>
          <w:rFonts w:hint="eastAsia" w:ascii="仿宋_GB2312" w:hAnsi="仿宋" w:eastAsia="仿宋_GB2312" w:cs="Times New Roman"/>
          <w:sz w:val="32"/>
          <w:szCs w:val="32"/>
        </w:rPr>
        <w:t>室、第四</w:t>
      </w:r>
      <w:r>
        <w:rPr>
          <w:rFonts w:hint="eastAsia" w:ascii="仿宋_GB2312" w:hAnsi="仿宋" w:eastAsia="仿宋_GB2312" w:cs="Times New Roman"/>
          <w:sz w:val="32"/>
          <w:szCs w:val="32"/>
          <w:lang w:eastAsia="zh-CN"/>
        </w:rPr>
        <w:t>监督检查</w:t>
      </w:r>
      <w:r>
        <w:rPr>
          <w:rFonts w:hint="eastAsia" w:ascii="仿宋_GB2312" w:hAnsi="仿宋" w:eastAsia="仿宋_GB2312" w:cs="Times New Roman"/>
          <w:sz w:val="32"/>
          <w:szCs w:val="32"/>
        </w:rPr>
        <w:t>室、第五</w:t>
      </w:r>
      <w:r>
        <w:rPr>
          <w:rFonts w:hint="eastAsia" w:ascii="仿宋_GB2312" w:hAnsi="仿宋" w:eastAsia="仿宋_GB2312" w:cs="Times New Roman"/>
          <w:sz w:val="32"/>
          <w:szCs w:val="32"/>
          <w:lang w:eastAsia="zh-CN"/>
        </w:rPr>
        <w:t>监督检查</w:t>
      </w:r>
      <w:r>
        <w:rPr>
          <w:rFonts w:hint="eastAsia" w:ascii="仿宋_GB2312" w:hAnsi="仿宋" w:eastAsia="仿宋_GB2312" w:cs="Times New Roman"/>
          <w:sz w:val="32"/>
          <w:szCs w:val="32"/>
        </w:rPr>
        <w:t>室、</w:t>
      </w:r>
      <w:r>
        <w:rPr>
          <w:rFonts w:hint="eastAsia" w:ascii="仿宋_GB2312" w:hAnsi="仿宋" w:eastAsia="仿宋_GB2312" w:cs="Times New Roman"/>
          <w:sz w:val="32"/>
          <w:szCs w:val="32"/>
          <w:lang w:eastAsia="zh-CN"/>
        </w:rPr>
        <w:t>驻区委办纪检监察组、驻政府办纪检监察组、驻市场局纪检监察组、廉政教育中心等</w:t>
      </w:r>
      <w:r>
        <w:rPr>
          <w:rFonts w:hint="eastAsia" w:ascii="仿宋_GB2312" w:hAnsi="仿宋" w:eastAsia="仿宋_GB2312" w:cs="Times New Roman"/>
          <w:sz w:val="32"/>
          <w:szCs w:val="32"/>
        </w:rPr>
        <w:t>。</w:t>
      </w:r>
    </w:p>
    <w:p>
      <w:pPr>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（二）人员结构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根据我单位编制基本情况，截止到2020年12月31日，我单位共</w:t>
      </w:r>
      <w:r>
        <w:rPr>
          <w:rFonts w:hint="eastAsia" w:ascii="仿宋_GB2312" w:eastAsia="仿宋_GB2312"/>
          <w:sz w:val="32"/>
          <w:szCs w:val="32"/>
          <w:lang w:val="en-US" w:eastAsia="zh-CN"/>
        </w:rPr>
        <w:t>65</w:t>
      </w:r>
      <w:r>
        <w:rPr>
          <w:rFonts w:hint="eastAsia" w:ascii="仿宋_GB2312" w:eastAsia="仿宋_GB2312"/>
          <w:sz w:val="32"/>
          <w:szCs w:val="32"/>
        </w:rPr>
        <w:t>人，其中：行政在职</w:t>
      </w:r>
      <w:r>
        <w:rPr>
          <w:rFonts w:hint="eastAsia" w:ascii="仿宋_GB2312" w:eastAsia="仿宋_GB2312"/>
          <w:sz w:val="32"/>
          <w:szCs w:val="32"/>
          <w:lang w:val="en-US" w:eastAsia="zh-CN"/>
        </w:rPr>
        <w:t>55</w:t>
      </w:r>
      <w:r>
        <w:rPr>
          <w:rFonts w:hint="eastAsia" w:ascii="仿宋_GB2312" w:eastAsia="仿宋_GB2312"/>
          <w:sz w:val="32"/>
          <w:szCs w:val="32"/>
        </w:rPr>
        <w:t>人，退休</w:t>
      </w:r>
      <w:r>
        <w:rPr>
          <w:rFonts w:hint="eastAsia" w:ascii="仿宋_GB2312" w:eastAsia="仿宋_GB2312"/>
          <w:sz w:val="32"/>
          <w:szCs w:val="32"/>
          <w:lang w:val="en-US" w:eastAsia="zh-CN"/>
        </w:rPr>
        <w:t>20</w:t>
      </w:r>
      <w:r>
        <w:rPr>
          <w:rFonts w:hint="eastAsia" w:ascii="仿宋_GB2312" w:eastAsia="仿宋_GB2312"/>
          <w:sz w:val="32"/>
          <w:szCs w:val="32"/>
        </w:rPr>
        <w:t>人</w:t>
      </w:r>
      <w:r>
        <w:rPr>
          <w:rFonts w:hint="eastAsia" w:ascii="仿宋_GB2312" w:eastAsia="仿宋_GB2312"/>
          <w:sz w:val="32"/>
          <w:szCs w:val="32"/>
          <w:lang w:eastAsia="zh-CN"/>
        </w:rPr>
        <w:t>，离休</w:t>
      </w:r>
      <w:r>
        <w:rPr>
          <w:rFonts w:hint="eastAsia" w:ascii="仿宋_GB2312" w:eastAsia="仿宋_GB2312"/>
          <w:sz w:val="32"/>
          <w:szCs w:val="32"/>
          <w:lang w:val="en-US" w:eastAsia="zh-CN"/>
        </w:rPr>
        <w:t>2人</w:t>
      </w:r>
      <w:r>
        <w:rPr>
          <w:rFonts w:hint="eastAsia" w:ascii="仿宋_GB2312" w:eastAsia="仿宋_GB2312"/>
          <w:sz w:val="32"/>
          <w:szCs w:val="32"/>
        </w:rPr>
        <w:t>；事业在职</w:t>
      </w:r>
      <w:r>
        <w:rPr>
          <w:rFonts w:hint="eastAsia" w:ascii="仿宋_GB2312" w:eastAsia="仿宋_GB2312"/>
          <w:sz w:val="32"/>
          <w:szCs w:val="32"/>
          <w:lang w:val="en-US" w:eastAsia="zh-CN"/>
        </w:rPr>
        <w:t>10</w:t>
      </w:r>
      <w:r>
        <w:rPr>
          <w:rFonts w:hint="eastAsia" w:ascii="仿宋_GB2312" w:eastAsia="仿宋_GB2312"/>
          <w:sz w:val="32"/>
          <w:szCs w:val="32"/>
        </w:rPr>
        <w:t>人，退休0人。</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收支情况</w:t>
      </w:r>
    </w:p>
    <w:p>
      <w:pPr>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1、预算收入情况</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年部门整体</w:t>
      </w:r>
      <w:r>
        <w:rPr>
          <w:rFonts w:hint="eastAsia" w:ascii="华文仿宋" w:hAnsi="华文仿宋" w:eastAsia="华文仿宋"/>
          <w:sz w:val="32"/>
          <w:szCs w:val="32"/>
          <w:lang w:eastAsia="zh-CN"/>
        </w:rPr>
        <w:t>收入</w:t>
      </w:r>
      <w:r>
        <w:rPr>
          <w:rFonts w:hint="eastAsia" w:ascii="华文仿宋" w:hAnsi="华文仿宋" w:eastAsia="华文仿宋"/>
          <w:sz w:val="32"/>
          <w:szCs w:val="32"/>
          <w:lang w:val="en-US" w:eastAsia="zh-CN"/>
        </w:rPr>
        <w:t>856.60万元，其中一般公共预算财政</w:t>
      </w:r>
      <w:r>
        <w:rPr>
          <w:rFonts w:hint="eastAsia" w:ascii="华文仿宋" w:hAnsi="华文仿宋" w:eastAsia="华文仿宋"/>
          <w:sz w:val="32"/>
          <w:szCs w:val="32"/>
        </w:rPr>
        <w:t>收入</w:t>
      </w:r>
      <w:r>
        <w:rPr>
          <w:rFonts w:hint="eastAsia" w:ascii="华文仿宋" w:hAnsi="华文仿宋" w:eastAsia="华文仿宋"/>
          <w:sz w:val="32"/>
          <w:szCs w:val="32"/>
          <w:lang w:val="en-US" w:eastAsia="zh-CN"/>
        </w:rPr>
        <w:t>856</w:t>
      </w:r>
      <w:r>
        <w:rPr>
          <w:rFonts w:hint="eastAsia" w:ascii="华文仿宋" w:hAnsi="华文仿宋" w:eastAsia="华文仿宋"/>
          <w:sz w:val="32"/>
          <w:szCs w:val="32"/>
        </w:rPr>
        <w:t>万元。</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2、预算支出情况</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2020年财政拨款支出合计</w:t>
      </w:r>
      <w:r>
        <w:rPr>
          <w:rFonts w:hint="eastAsia" w:ascii="仿宋_GB2312" w:hAnsi="仿宋_GB2312" w:eastAsia="仿宋_GB2312" w:cs="仿宋_GB2312"/>
          <w:color w:val="000000"/>
          <w:sz w:val="32"/>
          <w:szCs w:val="32"/>
          <w:lang w:val="en-US" w:eastAsia="zh-CN"/>
        </w:rPr>
        <w:t>773.56</w:t>
      </w:r>
      <w:r>
        <w:rPr>
          <w:rFonts w:hint="eastAsia" w:ascii="仿宋_GB2312" w:hAnsi="仿宋_GB2312" w:eastAsia="仿宋_GB2312" w:cs="仿宋_GB2312"/>
          <w:color w:val="000000"/>
          <w:sz w:val="32"/>
          <w:szCs w:val="32"/>
        </w:rPr>
        <w:t>万元，基本支出</w:t>
      </w:r>
      <w:r>
        <w:rPr>
          <w:rFonts w:hint="eastAsia" w:ascii="仿宋_GB2312" w:hAnsi="仿宋_GB2312" w:eastAsia="仿宋_GB2312" w:cs="仿宋_GB2312"/>
          <w:color w:val="000000"/>
          <w:sz w:val="32"/>
          <w:szCs w:val="32"/>
          <w:lang w:val="en-US" w:eastAsia="zh-CN"/>
        </w:rPr>
        <w:t>718.79</w:t>
      </w:r>
      <w:r>
        <w:rPr>
          <w:rFonts w:hint="eastAsia" w:ascii="仿宋_GB2312" w:hAnsi="仿宋_GB2312" w:eastAsia="仿宋_GB2312" w:cs="仿宋_GB2312"/>
          <w:color w:val="000000"/>
          <w:sz w:val="32"/>
          <w:szCs w:val="32"/>
        </w:rPr>
        <w:t>万元，其中人员经费支出</w:t>
      </w:r>
      <w:r>
        <w:rPr>
          <w:rFonts w:hint="eastAsia" w:ascii="仿宋_GB2312" w:hAnsi="仿宋_GB2312" w:eastAsia="仿宋_GB2312" w:cs="仿宋_GB2312"/>
          <w:color w:val="000000"/>
          <w:sz w:val="32"/>
          <w:szCs w:val="32"/>
          <w:lang w:val="en-US" w:eastAsia="zh-CN"/>
        </w:rPr>
        <w:t>653.04</w:t>
      </w:r>
      <w:r>
        <w:rPr>
          <w:rFonts w:hint="eastAsia" w:ascii="仿宋_GB2312" w:hAnsi="仿宋_GB2312" w:eastAsia="仿宋_GB2312" w:cs="仿宋_GB2312"/>
          <w:color w:val="000000"/>
          <w:sz w:val="32"/>
          <w:szCs w:val="32"/>
        </w:rPr>
        <w:t>万元，日常公用经费支出</w:t>
      </w:r>
      <w:r>
        <w:rPr>
          <w:rFonts w:hint="eastAsia" w:ascii="仿宋_GB2312" w:hAnsi="仿宋_GB2312" w:eastAsia="仿宋_GB2312" w:cs="仿宋_GB2312"/>
          <w:color w:val="000000"/>
          <w:sz w:val="32"/>
          <w:szCs w:val="32"/>
          <w:lang w:val="en-US" w:eastAsia="zh-CN"/>
        </w:rPr>
        <w:t>65.75</w:t>
      </w:r>
      <w:r>
        <w:rPr>
          <w:rFonts w:hint="eastAsia" w:ascii="仿宋_GB2312" w:hAnsi="仿宋_GB2312" w:eastAsia="仿宋_GB2312" w:cs="仿宋_GB2312"/>
          <w:color w:val="000000"/>
          <w:sz w:val="32"/>
          <w:szCs w:val="32"/>
        </w:rPr>
        <w:t>万元；项目支出</w:t>
      </w:r>
      <w:r>
        <w:rPr>
          <w:rFonts w:hint="eastAsia" w:ascii="仿宋_GB2312" w:hAnsi="仿宋_GB2312" w:eastAsia="仿宋_GB2312" w:cs="仿宋_GB2312"/>
          <w:color w:val="000000"/>
          <w:sz w:val="32"/>
          <w:szCs w:val="32"/>
          <w:lang w:val="en-US" w:eastAsia="zh-CN"/>
        </w:rPr>
        <w:t>54.76</w:t>
      </w:r>
      <w:r>
        <w:rPr>
          <w:rFonts w:hint="eastAsia" w:ascii="仿宋_GB2312" w:hAnsi="仿宋_GB2312" w:eastAsia="仿宋_GB2312" w:cs="仿宋_GB2312"/>
          <w:color w:val="000000"/>
          <w:sz w:val="32"/>
          <w:szCs w:val="32"/>
        </w:rPr>
        <w:t>万元。</w:t>
      </w:r>
    </w:p>
    <w:p>
      <w:pPr>
        <w:numPr>
          <w:ilvl w:val="0"/>
          <w:numId w:val="2"/>
        </w:numPr>
        <w:spacing w:line="56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专项资金管理情况</w:t>
      </w:r>
    </w:p>
    <w:p>
      <w:pPr>
        <w:widowControl/>
        <w:spacing w:line="448" w:lineRule="atLeast"/>
        <w:ind w:firstLine="640" w:firstLineChars="200"/>
        <w:rPr>
          <w:rFonts w:hint="eastAsia" w:ascii="仿宋" w:hAnsi="仿宋" w:eastAsia="仿宋" w:cs="宋体"/>
          <w:color w:val="000000"/>
          <w:spacing w:val="-2"/>
          <w:kern w:val="0"/>
          <w:sz w:val="32"/>
          <w:szCs w:val="32"/>
        </w:rPr>
      </w:pPr>
      <w:r>
        <w:rPr>
          <w:rFonts w:hint="eastAsia" w:ascii="仿宋_GB2312" w:hAnsi="仿宋_GB2312" w:eastAsia="仿宋_GB2312" w:cs="仿宋_GB2312"/>
          <w:color w:val="000000"/>
          <w:sz w:val="32"/>
          <w:szCs w:val="32"/>
        </w:rPr>
        <w:t>2020年度年初预算中我单位未安排项目支出，6月份经区财政局预算科安排政府保障经费细化项目4个，共计资金40万元</w:t>
      </w:r>
      <w:r>
        <w:rPr>
          <w:rFonts w:hint="eastAsia" w:ascii="仿宋_GB2312" w:hAnsi="仿宋_GB2312" w:eastAsia="仿宋_GB2312" w:cs="仿宋_GB2312"/>
          <w:color w:val="000000"/>
          <w:sz w:val="32"/>
          <w:szCs w:val="32"/>
          <w:lang w:eastAsia="zh-CN"/>
        </w:rPr>
        <w:t>，</w:t>
      </w:r>
      <w:r>
        <w:rPr>
          <w:rFonts w:hint="eastAsia" w:ascii="华文仿宋" w:hAnsi="华文仿宋" w:eastAsia="华文仿宋"/>
          <w:sz w:val="32"/>
          <w:szCs w:val="32"/>
        </w:rPr>
        <w:t>用于</w:t>
      </w:r>
      <w:r>
        <w:rPr>
          <w:rFonts w:hint="eastAsia" w:ascii="华文仿宋" w:hAnsi="华文仿宋" w:eastAsia="华文仿宋"/>
          <w:sz w:val="32"/>
          <w:szCs w:val="32"/>
          <w:lang w:eastAsia="zh-CN"/>
        </w:rPr>
        <w:t>纪检监察、党风廉政、网络维护等</w:t>
      </w:r>
      <w:r>
        <w:rPr>
          <w:rFonts w:hint="eastAsia" w:ascii="华文仿宋" w:hAnsi="华文仿宋" w:eastAsia="华文仿宋"/>
          <w:sz w:val="32"/>
          <w:szCs w:val="32"/>
        </w:rPr>
        <w:t>。</w:t>
      </w:r>
      <w:r>
        <w:rPr>
          <w:rFonts w:hint="eastAsia" w:ascii="仿宋" w:hAnsi="仿宋" w:eastAsia="仿宋" w:cs="宋体"/>
          <w:color w:val="000000"/>
          <w:spacing w:val="-2"/>
          <w:kern w:val="0"/>
          <w:sz w:val="32"/>
          <w:szCs w:val="32"/>
        </w:rPr>
        <w:t>专项资金执行专款专用，无挪用、挤占、截留现象。</w:t>
      </w:r>
    </w:p>
    <w:p>
      <w:pPr>
        <w:snapToGrid w:val="0"/>
        <w:spacing w:line="60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1）综合事务项目</w:t>
      </w:r>
      <w:r>
        <w:rPr>
          <w:rFonts w:hint="eastAsia" w:ascii="仿宋_GB2312" w:hAnsi="仿宋_GB2312" w:eastAsia="仿宋_GB2312" w:cs="仿宋_GB2312"/>
          <w:color w:val="000000"/>
          <w:sz w:val="32"/>
          <w:szCs w:val="32"/>
          <w:lang w:val="en-US" w:eastAsia="zh-CN"/>
        </w:rPr>
        <w:t>8万元；</w:t>
      </w:r>
    </w:p>
    <w:p>
      <w:pPr>
        <w:snapToGrid w:val="0"/>
        <w:spacing w:line="60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）纪检监察专项资金</w:t>
      </w:r>
      <w:r>
        <w:rPr>
          <w:rFonts w:hint="eastAsia" w:ascii="仿宋_GB2312" w:hAnsi="仿宋_GB2312" w:eastAsia="仿宋_GB2312" w:cs="仿宋_GB2312"/>
          <w:color w:val="000000"/>
          <w:sz w:val="32"/>
          <w:szCs w:val="32"/>
          <w:lang w:val="en-US" w:eastAsia="zh-CN"/>
        </w:rPr>
        <w:t>13.3万元；</w:t>
      </w:r>
    </w:p>
    <w:p>
      <w:pPr>
        <w:snapToGrid w:val="0"/>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）党风廉政建设专项资金</w:t>
      </w:r>
      <w:r>
        <w:rPr>
          <w:rFonts w:hint="eastAsia" w:ascii="仿宋_GB2312" w:hAnsi="仿宋_GB2312" w:eastAsia="仿宋_GB2312" w:cs="仿宋_GB2312"/>
          <w:color w:val="000000"/>
          <w:sz w:val="32"/>
          <w:szCs w:val="32"/>
          <w:lang w:val="en-US" w:eastAsia="zh-CN"/>
        </w:rPr>
        <w:t>2.1万元</w:t>
      </w:r>
      <w:r>
        <w:rPr>
          <w:rFonts w:hint="eastAsia" w:ascii="仿宋_GB2312" w:hAnsi="仿宋_GB2312" w:eastAsia="仿宋_GB2312" w:cs="仿宋_GB2312"/>
          <w:color w:val="000000"/>
          <w:sz w:val="32"/>
          <w:szCs w:val="32"/>
        </w:rPr>
        <w:t>；</w:t>
      </w:r>
    </w:p>
    <w:p>
      <w:pPr>
        <w:snapToGrid w:val="0"/>
        <w:spacing w:line="60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）信息网络系统日常维护专项资金</w:t>
      </w:r>
      <w:r>
        <w:rPr>
          <w:rFonts w:hint="eastAsia" w:ascii="仿宋_GB2312" w:hAnsi="仿宋_GB2312" w:eastAsia="仿宋_GB2312" w:cs="仿宋_GB2312"/>
          <w:color w:val="000000"/>
          <w:sz w:val="32"/>
          <w:szCs w:val="32"/>
          <w:lang w:val="en-US" w:eastAsia="zh-CN"/>
        </w:rPr>
        <w:t>16.6万元。</w:t>
      </w:r>
    </w:p>
    <w:p>
      <w:pPr>
        <w:spacing w:line="560" w:lineRule="exact"/>
        <w:ind w:firstLine="643" w:firstLineChars="200"/>
        <w:rPr>
          <w:rFonts w:ascii="仿宋" w:hAnsi="仿宋" w:eastAsia="仿宋"/>
          <w:sz w:val="32"/>
          <w:szCs w:val="32"/>
        </w:rPr>
      </w:pPr>
      <w:r>
        <w:rPr>
          <w:rFonts w:hint="eastAsia" w:ascii="楷体_GB2312" w:hAnsi="仿宋" w:eastAsia="楷体_GB2312"/>
          <w:b/>
          <w:sz w:val="32"/>
          <w:szCs w:val="32"/>
        </w:rPr>
        <w:t>4、目标实现情况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000000"/>
          <w:kern w:val="2"/>
          <w:sz w:val="32"/>
          <w:szCs w:val="32"/>
        </w:rPr>
      </w:pPr>
      <w:r>
        <w:rPr>
          <w:rFonts w:hint="eastAsia" w:ascii="楷体_GB2312" w:hAnsi="楷体_GB2312" w:eastAsia="楷体_GB2312" w:cs="楷体_GB2312"/>
          <w:b/>
          <w:bCs w:val="0"/>
          <w:color w:val="000000"/>
          <w:kern w:val="2"/>
          <w:sz w:val="32"/>
          <w:szCs w:val="32"/>
        </w:rPr>
        <w:t>（</w:t>
      </w:r>
      <w:r>
        <w:rPr>
          <w:rFonts w:hint="eastAsia" w:ascii="楷体_GB2312" w:hAnsi="楷体_GB2312" w:eastAsia="楷体_GB2312" w:cs="楷体_GB2312"/>
          <w:b/>
          <w:bCs w:val="0"/>
          <w:color w:val="000000"/>
          <w:kern w:val="2"/>
          <w:sz w:val="32"/>
          <w:szCs w:val="32"/>
          <w:lang w:val="en-US" w:eastAsia="zh-CN"/>
        </w:rPr>
        <w:t>1</w:t>
      </w:r>
      <w:r>
        <w:rPr>
          <w:rFonts w:hint="eastAsia" w:ascii="楷体_GB2312" w:hAnsi="楷体_GB2312" w:eastAsia="楷体_GB2312" w:cs="楷体_GB2312"/>
          <w:b/>
          <w:bCs w:val="0"/>
          <w:color w:val="000000"/>
          <w:kern w:val="2"/>
          <w:sz w:val="32"/>
          <w:szCs w:val="32"/>
        </w:rPr>
        <w:t>）</w:t>
      </w:r>
      <w:r>
        <w:rPr>
          <w:rFonts w:hint="eastAsia" w:ascii="楷体_GB2312" w:hAnsi="楷体_GB2312" w:eastAsia="楷体_GB2312" w:cs="楷体_GB2312"/>
          <w:b/>
          <w:bCs w:val="0"/>
          <w:color w:val="000000"/>
          <w:kern w:val="2"/>
          <w:sz w:val="32"/>
          <w:szCs w:val="32"/>
          <w:lang w:val="en-US" w:eastAsia="zh-CN"/>
        </w:rPr>
        <w:t>强化政治监督</w:t>
      </w:r>
      <w:r>
        <w:rPr>
          <w:rFonts w:hint="eastAsia" w:ascii="楷体_GB2312" w:hAnsi="楷体_GB2312" w:eastAsia="楷体_GB2312" w:cs="楷体_GB2312"/>
          <w:b/>
          <w:bCs w:val="0"/>
          <w:kern w:val="2"/>
          <w:sz w:val="32"/>
          <w:szCs w:val="32"/>
        </w:rPr>
        <w:t>，</w:t>
      </w:r>
      <w:r>
        <w:rPr>
          <w:rFonts w:hint="eastAsia" w:ascii="楷体_GB2312" w:hAnsi="楷体_GB2312" w:eastAsia="楷体_GB2312" w:cs="楷体_GB2312"/>
          <w:b/>
          <w:bCs w:val="0"/>
          <w:kern w:val="2"/>
          <w:sz w:val="32"/>
          <w:szCs w:val="32"/>
          <w:lang w:val="en-US" w:eastAsia="zh-CN"/>
        </w:rPr>
        <w:t>确保</w:t>
      </w:r>
      <w:r>
        <w:rPr>
          <w:rFonts w:hint="eastAsia" w:ascii="楷体_GB2312" w:hAnsi="楷体_GB2312" w:eastAsia="楷体_GB2312" w:cs="楷体_GB2312"/>
          <w:b/>
          <w:bCs w:val="0"/>
          <w:kern w:val="2"/>
          <w:sz w:val="32"/>
          <w:szCs w:val="32"/>
        </w:rPr>
        <w:t>党中央重大决策部署落地落实</w:t>
      </w:r>
      <w:r>
        <w:rPr>
          <w:rFonts w:hint="eastAsia" w:ascii="楷体_GB2312" w:hAnsi="楷体_GB2312" w:eastAsia="楷体_GB2312" w:cs="楷体_GB2312"/>
          <w:b/>
          <w:bCs w:val="0"/>
          <w:kern w:val="2"/>
          <w:sz w:val="32"/>
          <w:szCs w:val="32"/>
          <w:lang w:eastAsia="zh-CN"/>
        </w:rPr>
        <w:t>。</w:t>
      </w:r>
      <w:r>
        <w:rPr>
          <w:rFonts w:hint="eastAsia" w:ascii="仿宋_GB2312" w:hAnsi="仿宋_GB2312" w:eastAsia="仿宋_GB2312" w:cs="仿宋_GB2312"/>
          <w:bCs/>
          <w:color w:val="000000"/>
          <w:kern w:val="2"/>
          <w:sz w:val="32"/>
          <w:szCs w:val="32"/>
        </w:rPr>
        <w:t>加强对党中央重大决策部署、重大战略举措落实情况的监督检查，坚守“监督的再监督”定位，聚焦疫情防控和经济社会发展、脱贫攻坚、“首都两区”建设以及全面做好“六稳”“六保”工作等重点工作的政治监督。</w:t>
      </w:r>
      <w:r>
        <w:rPr>
          <w:rFonts w:hint="eastAsia" w:ascii="仿宋_GB2312" w:hAnsi="仿宋_GB2312" w:eastAsia="仿宋_GB2312" w:cs="仿宋_GB2312"/>
          <w:bCs/>
          <w:color w:val="000000"/>
          <w:kern w:val="2"/>
          <w:sz w:val="32"/>
          <w:szCs w:val="32"/>
          <w:lang w:val="en-US" w:eastAsia="zh-CN"/>
        </w:rPr>
        <w:t>新冠肺炎疫情发生后，区纪委监委迅速行动，</w:t>
      </w:r>
      <w:r>
        <w:rPr>
          <w:rFonts w:hint="eastAsia" w:ascii="仿宋_GB2312" w:hAnsi="仿宋_GB2312" w:eastAsia="仿宋_GB2312" w:cs="仿宋_GB2312"/>
          <w:b w:val="0"/>
          <w:bCs/>
          <w:color w:val="000000"/>
          <w:sz w:val="32"/>
          <w:szCs w:val="32"/>
          <w:lang w:val="en-US" w:eastAsia="zh-CN"/>
        </w:rPr>
        <w:t>督促相关部门抗疫情、稳经济、谋发展，检查单位或场所326次，发现问题194个，当场提出整改意见132条，提出意见建议9条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开展扶贫领域专项治理</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查找出职能部门作用发挥不充分、“慰问式”扶贫等问题5个，发现干部存在形式主义问题4个，对以上问题及时给予处置，下发纪律检查建议书，同时对区农业农村局、区民政局等单位的4名相关责任人进行批评教育</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推进“首都两区”建设专项监督，督促整改问题2件（西沙河违规排污问题、河长巡河问题），全区通报2人次，对负有领导责任、直接责任的9人给予处分或组织处理</w:t>
      </w:r>
      <w:r>
        <w:rPr>
          <w:rFonts w:hint="eastAsia" w:ascii="仿宋_GB2312" w:hAnsi="仿宋_GB2312" w:eastAsia="仿宋_GB2312" w:cs="仿宋_GB2312"/>
          <w:bCs/>
          <w:color w:val="000000"/>
          <w:kern w:val="2"/>
          <w:sz w:val="32"/>
          <w:szCs w:val="32"/>
        </w:rPr>
        <w:t>。强化对重点岗位党员干部的监督，全面建立干部廉政档案，</w:t>
      </w:r>
      <w:r>
        <w:rPr>
          <w:rFonts w:ascii="仿宋_GB2312" w:hAnsi="仿宋_GB2312" w:eastAsia="仿宋_GB2312" w:cs="仿宋_GB2312"/>
          <w:bCs/>
          <w:color w:val="000000"/>
          <w:kern w:val="2"/>
          <w:sz w:val="32"/>
          <w:szCs w:val="32"/>
        </w:rPr>
        <w:t>完整记录</w:t>
      </w:r>
      <w:r>
        <w:rPr>
          <w:rFonts w:hint="eastAsia" w:ascii="仿宋_GB2312" w:hAnsi="仿宋_GB2312" w:eastAsia="仿宋_GB2312" w:cs="仿宋_GB2312"/>
          <w:bCs/>
          <w:color w:val="000000"/>
          <w:kern w:val="2"/>
          <w:sz w:val="32"/>
          <w:szCs w:val="32"/>
        </w:rPr>
        <w:t>352</w:t>
      </w:r>
      <w:r>
        <w:rPr>
          <w:rFonts w:ascii="仿宋_GB2312" w:hAnsi="仿宋_GB2312" w:eastAsia="仿宋_GB2312" w:cs="仿宋_GB2312"/>
          <w:bCs/>
          <w:color w:val="000000"/>
          <w:kern w:val="2"/>
          <w:sz w:val="32"/>
          <w:szCs w:val="32"/>
        </w:rPr>
        <w:t>名</w:t>
      </w:r>
      <w:r>
        <w:rPr>
          <w:rFonts w:hint="eastAsia" w:ascii="仿宋_GB2312" w:hAnsi="仿宋_GB2312" w:eastAsia="仿宋_GB2312" w:cs="仿宋_GB2312"/>
          <w:bCs/>
          <w:color w:val="000000"/>
          <w:kern w:val="2"/>
          <w:sz w:val="32"/>
          <w:szCs w:val="32"/>
        </w:rPr>
        <w:t>区</w:t>
      </w:r>
      <w:r>
        <w:rPr>
          <w:rFonts w:ascii="仿宋_GB2312" w:hAnsi="仿宋_GB2312" w:eastAsia="仿宋_GB2312" w:cs="仿宋_GB2312"/>
          <w:bCs/>
          <w:color w:val="000000"/>
          <w:kern w:val="2"/>
          <w:sz w:val="32"/>
          <w:szCs w:val="32"/>
        </w:rPr>
        <w:t>管领导干部的党风廉政情况，全面掌握“健康状况”。加强对全区选人用人的监督检查，严把政治关、品行关、作风关、廉洁关，</w:t>
      </w:r>
      <w:r>
        <w:rPr>
          <w:rFonts w:hint="eastAsia" w:ascii="仿宋_GB2312" w:hAnsi="仿宋_GB2312" w:eastAsia="仿宋_GB2312" w:cs="仿宋_GB2312"/>
          <w:bCs/>
          <w:color w:val="000000"/>
          <w:kern w:val="2"/>
          <w:sz w:val="32"/>
          <w:szCs w:val="32"/>
          <w:lang w:val="en-US" w:eastAsia="zh-CN"/>
        </w:rPr>
        <w:t>全年回复</w:t>
      </w:r>
      <w:r>
        <w:rPr>
          <w:rFonts w:hint="eastAsia" w:ascii="仿宋_GB2312" w:hAnsi="仿宋_GB2312" w:eastAsia="仿宋_GB2312" w:cs="仿宋_GB2312"/>
          <w:bCs/>
          <w:color w:val="000000"/>
          <w:kern w:val="2"/>
          <w:sz w:val="32"/>
          <w:szCs w:val="32"/>
        </w:rPr>
        <w:t>党风廉政意见</w:t>
      </w:r>
      <w:r>
        <w:rPr>
          <w:rFonts w:hint="eastAsia" w:ascii="仿宋_GB2312" w:hAnsi="仿宋_GB2312" w:eastAsia="仿宋_GB2312" w:cs="仿宋_GB2312"/>
          <w:bCs/>
          <w:color w:val="000000"/>
          <w:sz w:val="32"/>
          <w:szCs w:val="32"/>
        </w:rPr>
        <w:t>1724</w:t>
      </w:r>
      <w:r>
        <w:rPr>
          <w:rFonts w:hint="eastAsia" w:ascii="仿宋_GB2312" w:hAnsi="仿宋_GB2312" w:eastAsia="仿宋_GB2312" w:cs="仿宋_GB2312"/>
          <w:bCs/>
          <w:color w:val="000000"/>
          <w:kern w:val="2"/>
          <w:sz w:val="32"/>
          <w:szCs w:val="32"/>
        </w:rPr>
        <w:t>人次。</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Cs/>
          <w:color w:val="000000"/>
          <w:kern w:val="2"/>
          <w:sz w:val="32"/>
          <w:szCs w:val="32"/>
        </w:rPr>
      </w:pPr>
      <w:r>
        <w:rPr>
          <w:rFonts w:hint="eastAsia" w:ascii="楷体_GB2312" w:hAnsi="楷体_GB2312" w:eastAsia="楷体_GB2312" w:cs="楷体_GB2312"/>
          <w:b/>
          <w:bCs w:val="0"/>
          <w:color w:val="000000"/>
          <w:kern w:val="2"/>
          <w:sz w:val="32"/>
          <w:szCs w:val="32"/>
          <w:lang w:eastAsia="zh-CN"/>
        </w:rPr>
        <w:t>（</w:t>
      </w:r>
      <w:r>
        <w:rPr>
          <w:rFonts w:hint="eastAsia" w:ascii="楷体_GB2312" w:hAnsi="楷体_GB2312" w:eastAsia="楷体_GB2312" w:cs="楷体_GB2312"/>
          <w:b/>
          <w:bCs w:val="0"/>
          <w:color w:val="000000"/>
          <w:kern w:val="2"/>
          <w:sz w:val="32"/>
          <w:szCs w:val="32"/>
          <w:lang w:val="en-US" w:eastAsia="zh-CN"/>
        </w:rPr>
        <w:t>2）坚持以人民为中心</w:t>
      </w:r>
      <w:r>
        <w:rPr>
          <w:rFonts w:hint="eastAsia" w:ascii="楷体_GB2312" w:hAnsi="楷体_GB2312" w:eastAsia="楷体_GB2312" w:cs="楷体_GB2312"/>
          <w:b/>
          <w:bCs w:val="0"/>
          <w:color w:val="000000"/>
          <w:kern w:val="2"/>
          <w:sz w:val="32"/>
          <w:szCs w:val="32"/>
        </w:rPr>
        <w:t>理念，</w:t>
      </w:r>
      <w:r>
        <w:rPr>
          <w:rFonts w:hint="eastAsia" w:ascii="楷体_GB2312" w:hAnsi="楷体_GB2312" w:eastAsia="楷体_GB2312" w:cs="楷体_GB2312"/>
          <w:b/>
          <w:bCs w:val="0"/>
          <w:color w:val="000000"/>
          <w:kern w:val="2"/>
          <w:sz w:val="32"/>
          <w:szCs w:val="32"/>
          <w:lang w:val="en-US" w:eastAsia="zh-CN"/>
        </w:rPr>
        <w:t>持续</w:t>
      </w:r>
      <w:r>
        <w:rPr>
          <w:rFonts w:hint="eastAsia" w:ascii="楷体_GB2312" w:hAnsi="楷体_GB2312" w:eastAsia="楷体_GB2312" w:cs="楷体_GB2312"/>
          <w:b/>
          <w:bCs w:val="0"/>
          <w:color w:val="000000"/>
          <w:kern w:val="2"/>
          <w:sz w:val="32"/>
          <w:szCs w:val="32"/>
        </w:rPr>
        <w:t>整治群众身边腐败问题</w:t>
      </w:r>
      <w:r>
        <w:rPr>
          <w:rFonts w:hint="eastAsia" w:ascii="楷体_GB2312" w:hAnsi="楷体_GB2312" w:eastAsia="楷体_GB2312" w:cs="楷体_GB2312"/>
          <w:b/>
          <w:bCs w:val="0"/>
          <w:color w:val="000000"/>
          <w:kern w:val="2"/>
          <w:sz w:val="32"/>
          <w:szCs w:val="32"/>
          <w:lang w:eastAsia="zh-CN"/>
        </w:rPr>
        <w:t>。</w:t>
      </w:r>
      <w:r>
        <w:rPr>
          <w:rFonts w:hint="eastAsia" w:ascii="仿宋_GB2312" w:hAnsi="仿宋_GB2312" w:eastAsia="仿宋_GB2312" w:cs="仿宋_GB2312"/>
          <w:bCs/>
          <w:color w:val="000000"/>
          <w:kern w:val="2"/>
          <w:sz w:val="32"/>
          <w:szCs w:val="32"/>
        </w:rPr>
        <w:t>坚持</w:t>
      </w:r>
      <w:r>
        <w:rPr>
          <w:rFonts w:hint="eastAsia" w:ascii="仿宋_GB2312" w:hAnsi="仿宋_GB2312" w:eastAsia="仿宋_GB2312" w:cs="仿宋_GB2312"/>
          <w:bCs/>
          <w:color w:val="000000"/>
          <w:kern w:val="2"/>
          <w:sz w:val="32"/>
          <w:szCs w:val="32"/>
          <w:lang w:val="en-US" w:eastAsia="zh-CN"/>
        </w:rPr>
        <w:t>人民至上，严肃认真对待群众反映强烈的问题，</w:t>
      </w:r>
      <w:r>
        <w:rPr>
          <w:rFonts w:hint="eastAsia" w:ascii="仿宋_GB2312" w:hAnsi="仿宋_GB2312" w:eastAsia="仿宋_GB2312" w:cs="仿宋_GB2312"/>
          <w:bCs/>
          <w:color w:val="000000"/>
          <w:kern w:val="2"/>
          <w:sz w:val="32"/>
          <w:szCs w:val="32"/>
        </w:rPr>
        <w:t>开展问题线索集中清理处置工作，努力实现问题线索存量清零，增量随清，让群众感受到正风肃纪反腐就在身边。</w:t>
      </w:r>
      <w:r>
        <w:rPr>
          <w:rFonts w:hint="eastAsia" w:ascii="仿宋_GB2312" w:hAnsi="仿宋_GB2312" w:eastAsia="仿宋_GB2312" w:cs="仿宋_GB2312"/>
          <w:b w:val="0"/>
          <w:bCs/>
          <w:color w:val="auto"/>
          <w:sz w:val="32"/>
          <w:szCs w:val="32"/>
          <w:lang w:val="en-US" w:eastAsia="zh-CN"/>
        </w:rPr>
        <w:t>2020年受理检举控告类信访件33件，较去年同期下降71%，已全部办结；重复检举控告10件，重复占比30.3%，已全部办结，重复举报息诉罢访率100%。</w:t>
      </w:r>
      <w:r>
        <w:rPr>
          <w:rFonts w:hint="eastAsia" w:ascii="仿宋_GB2312" w:hAnsi="仿宋_GB2312" w:eastAsia="仿宋_GB2312" w:cs="仿宋_GB2312"/>
          <w:b w:val="0"/>
          <w:bCs/>
          <w:color w:val="000000"/>
          <w:sz w:val="32"/>
          <w:szCs w:val="32"/>
          <w:lang w:val="en-US" w:eastAsia="zh-CN"/>
        </w:rPr>
        <w:t>加大力度</w:t>
      </w:r>
      <w:r>
        <w:rPr>
          <w:rFonts w:ascii="仿宋_GB2312" w:hAnsi="仿宋_GB2312" w:eastAsia="仿宋_GB2312" w:cs="仿宋_GB2312"/>
          <w:bCs/>
          <w:color w:val="000000"/>
          <w:kern w:val="2"/>
          <w:sz w:val="32"/>
          <w:szCs w:val="32"/>
        </w:rPr>
        <w:t>深挖彻查涉黑涉恶腐败和</w:t>
      </w:r>
      <w:r>
        <w:rPr>
          <w:rFonts w:hint="eastAsia" w:ascii="仿宋_GB2312" w:hAnsi="仿宋_GB2312" w:eastAsia="仿宋_GB2312" w:cs="仿宋_GB2312"/>
          <w:bCs/>
          <w:color w:val="000000"/>
          <w:kern w:val="2"/>
          <w:sz w:val="32"/>
          <w:szCs w:val="32"/>
        </w:rPr>
        <w:t>“</w:t>
      </w:r>
      <w:r>
        <w:rPr>
          <w:rFonts w:ascii="仿宋_GB2312" w:hAnsi="仿宋_GB2312" w:eastAsia="仿宋_GB2312" w:cs="仿宋_GB2312"/>
          <w:bCs/>
          <w:color w:val="000000"/>
          <w:kern w:val="2"/>
          <w:sz w:val="32"/>
          <w:szCs w:val="32"/>
        </w:rPr>
        <w:t>保护伞</w:t>
      </w:r>
      <w:r>
        <w:rPr>
          <w:rFonts w:hint="eastAsia" w:ascii="仿宋_GB2312" w:hAnsi="仿宋_GB2312" w:eastAsia="仿宋_GB2312" w:cs="仿宋_GB2312"/>
          <w:bCs/>
          <w:color w:val="000000"/>
          <w:kern w:val="2"/>
          <w:sz w:val="32"/>
          <w:szCs w:val="32"/>
        </w:rPr>
        <w:t>”，</w:t>
      </w:r>
      <w:r>
        <w:rPr>
          <w:rFonts w:ascii="仿宋_GB2312" w:hAnsi="仿宋_GB2312" w:eastAsia="仿宋_GB2312" w:cs="仿宋_GB2312"/>
          <w:bCs/>
          <w:color w:val="000000"/>
          <w:kern w:val="2"/>
          <w:sz w:val="32"/>
          <w:szCs w:val="32"/>
        </w:rPr>
        <w:t>加强与政法机关协同配合，对移交</w:t>
      </w:r>
      <w:r>
        <w:rPr>
          <w:rFonts w:hint="eastAsia" w:ascii="仿宋_GB2312" w:hAnsi="仿宋_GB2312" w:eastAsia="仿宋_GB2312" w:cs="仿宋_GB2312"/>
          <w:bCs/>
          <w:color w:val="000000"/>
          <w:kern w:val="2"/>
          <w:sz w:val="32"/>
          <w:szCs w:val="32"/>
        </w:rPr>
        <w:t>的6件</w:t>
      </w:r>
      <w:r>
        <w:rPr>
          <w:rFonts w:ascii="仿宋_GB2312" w:hAnsi="仿宋_GB2312" w:eastAsia="仿宋_GB2312" w:cs="仿宋_GB2312"/>
          <w:bCs/>
          <w:color w:val="000000"/>
          <w:kern w:val="2"/>
          <w:sz w:val="32"/>
          <w:szCs w:val="32"/>
        </w:rPr>
        <w:t>问题线索全面摸排、重点督办</w:t>
      </w:r>
      <w:r>
        <w:rPr>
          <w:rFonts w:hint="eastAsia" w:ascii="仿宋_GB2312" w:hAnsi="仿宋_GB2312" w:eastAsia="仿宋_GB2312" w:cs="仿宋_GB2312"/>
          <w:bCs/>
          <w:color w:val="000000"/>
          <w:kern w:val="2"/>
          <w:sz w:val="32"/>
          <w:szCs w:val="32"/>
        </w:rPr>
        <w:t>，并对2018年以来已查结的三起恶势力团伙案开展“回头看”，</w:t>
      </w:r>
      <w:r>
        <w:rPr>
          <w:rFonts w:hint="eastAsia" w:ascii="仿宋_GB2312" w:hAnsi="仿宋_GB2312" w:eastAsia="仿宋_GB2312" w:cs="仿宋_GB2312"/>
          <w:b w:val="0"/>
          <w:bCs/>
          <w:color w:val="000000"/>
          <w:sz w:val="32"/>
          <w:szCs w:val="32"/>
          <w:lang w:val="en-US" w:eastAsia="zh-CN"/>
        </w:rPr>
        <w:t>确保案件质量经得起历史考验。</w:t>
      </w:r>
      <w:r>
        <w:rPr>
          <w:rFonts w:hint="default" w:ascii="仿宋_GB2312" w:hAnsi="方正仿宋_GBK" w:eastAsia="仿宋_GB2312" w:cs="方正仿宋_GBK"/>
          <w:sz w:val="32"/>
          <w:szCs w:val="32"/>
          <w:lang w:val="en-US" w:eastAsia="zh-CN"/>
        </w:rPr>
        <w:t>通过明察暗访、</w:t>
      </w:r>
      <w:r>
        <w:rPr>
          <w:rFonts w:hint="eastAsia" w:ascii="仿宋_GB2312" w:hAnsi="方正仿宋_GBK" w:eastAsia="仿宋_GB2312" w:cs="方正仿宋_GBK"/>
          <w:sz w:val="32"/>
          <w:szCs w:val="32"/>
          <w:lang w:val="en-US" w:eastAsia="zh-CN"/>
        </w:rPr>
        <w:t>面对面座谈讨论征集意见、</w:t>
      </w:r>
      <w:r>
        <w:rPr>
          <w:rFonts w:hint="default" w:ascii="仿宋_GB2312" w:hAnsi="方正仿宋_GBK" w:eastAsia="仿宋_GB2312" w:cs="方正仿宋_GBK"/>
          <w:sz w:val="32"/>
          <w:szCs w:val="32"/>
          <w:lang w:val="en-US" w:eastAsia="zh-CN"/>
        </w:rPr>
        <w:t>公开举报邮箱、电话等方式，对涉及</w:t>
      </w:r>
      <w:r>
        <w:rPr>
          <w:rFonts w:hint="eastAsia" w:ascii="仿宋_GB2312" w:hAnsi="方正仿宋_GBK" w:eastAsia="仿宋_GB2312" w:cs="方正仿宋_GBK"/>
          <w:sz w:val="32"/>
          <w:szCs w:val="32"/>
          <w:lang w:val="en-US" w:eastAsia="zh-CN"/>
        </w:rPr>
        <w:t>优化</w:t>
      </w:r>
      <w:r>
        <w:rPr>
          <w:rFonts w:hint="default" w:ascii="仿宋_GB2312" w:hAnsi="方正仿宋_GBK" w:eastAsia="仿宋_GB2312" w:cs="方正仿宋_GBK"/>
          <w:sz w:val="32"/>
          <w:szCs w:val="32"/>
          <w:lang w:val="en-US" w:eastAsia="zh-CN"/>
        </w:rPr>
        <w:t>营商环境职能的</w:t>
      </w:r>
      <w:r>
        <w:rPr>
          <w:rFonts w:hint="eastAsia" w:ascii="仿宋_GB2312" w:hAnsi="方正仿宋_GBK" w:eastAsia="仿宋_GB2312" w:cs="方正仿宋_GBK"/>
          <w:sz w:val="32"/>
          <w:szCs w:val="32"/>
          <w:lang w:val="en-US" w:eastAsia="zh-CN"/>
        </w:rPr>
        <w:t>31</w:t>
      </w:r>
      <w:r>
        <w:rPr>
          <w:rFonts w:hint="default" w:ascii="仿宋_GB2312" w:hAnsi="方正仿宋_GBK" w:eastAsia="仿宋_GB2312" w:cs="方正仿宋_GBK"/>
          <w:sz w:val="32"/>
          <w:szCs w:val="32"/>
          <w:lang w:val="en-US" w:eastAsia="zh-CN"/>
        </w:rPr>
        <w:t>家区直部门进行全覆盖监督检查。召开民营企业恳谈会</w:t>
      </w:r>
      <w:r>
        <w:rPr>
          <w:rFonts w:hint="eastAsia" w:ascii="仿宋_GB2312" w:hAnsi="方正仿宋_GBK" w:eastAsia="仿宋_GB2312" w:cs="方正仿宋_GBK"/>
          <w:sz w:val="32"/>
          <w:szCs w:val="32"/>
          <w:lang w:val="en-US" w:eastAsia="zh-CN"/>
        </w:rPr>
        <w:t>3</w:t>
      </w:r>
      <w:r>
        <w:rPr>
          <w:rFonts w:hint="default" w:ascii="仿宋_GB2312" w:hAnsi="方正仿宋_GBK" w:eastAsia="仿宋_GB2312" w:cs="方正仿宋_GBK"/>
          <w:sz w:val="32"/>
          <w:szCs w:val="32"/>
          <w:lang w:val="en-US" w:eastAsia="zh-CN"/>
        </w:rPr>
        <w:t>次，面对面倾听企业需求，了解影响营商环境的痛点、难点和堵点，征集</w:t>
      </w:r>
      <w:r>
        <w:rPr>
          <w:rFonts w:hint="eastAsia" w:ascii="仿宋_GB2312" w:hAnsi="方正仿宋_GBK" w:eastAsia="仿宋_GB2312" w:cs="方正仿宋_GBK"/>
          <w:sz w:val="32"/>
          <w:szCs w:val="32"/>
          <w:lang w:val="en-US" w:eastAsia="zh-CN"/>
        </w:rPr>
        <w:t>6</w:t>
      </w:r>
      <w:r>
        <w:rPr>
          <w:rFonts w:hint="default" w:ascii="仿宋_GB2312" w:hAnsi="方正仿宋_GBK" w:eastAsia="仿宋_GB2312" w:cs="方正仿宋_GBK"/>
          <w:sz w:val="32"/>
          <w:szCs w:val="32"/>
          <w:lang w:val="en-US" w:eastAsia="zh-CN"/>
        </w:rPr>
        <w:t>家企业意见建议</w:t>
      </w:r>
      <w:r>
        <w:rPr>
          <w:rFonts w:hint="eastAsia" w:ascii="仿宋_GB2312" w:hAnsi="方正仿宋_GBK" w:eastAsia="仿宋_GB2312" w:cs="方正仿宋_GBK"/>
          <w:sz w:val="32"/>
          <w:szCs w:val="32"/>
          <w:lang w:val="en-US" w:eastAsia="zh-CN"/>
        </w:rPr>
        <w:t>9</w:t>
      </w:r>
      <w:r>
        <w:rPr>
          <w:rFonts w:hint="default" w:ascii="仿宋_GB2312" w:hAnsi="方正仿宋_GBK" w:eastAsia="仿宋_GB2312" w:cs="方正仿宋_GBK"/>
          <w:sz w:val="32"/>
          <w:szCs w:val="32"/>
          <w:lang w:val="en-US" w:eastAsia="zh-CN"/>
        </w:rPr>
        <w:t>条，下发督办函</w:t>
      </w:r>
      <w:r>
        <w:rPr>
          <w:rFonts w:hint="eastAsia" w:ascii="仿宋_GB2312" w:hAnsi="方正仿宋_GBK" w:eastAsia="仿宋_GB2312" w:cs="方正仿宋_GBK"/>
          <w:sz w:val="32"/>
          <w:szCs w:val="32"/>
          <w:lang w:val="en-US" w:eastAsia="zh-CN"/>
        </w:rPr>
        <w:t>4</w:t>
      </w:r>
      <w:r>
        <w:rPr>
          <w:rFonts w:hint="default" w:ascii="仿宋_GB2312" w:hAnsi="方正仿宋_GBK" w:eastAsia="仿宋_GB2312" w:cs="方正仿宋_GBK"/>
          <w:sz w:val="32"/>
          <w:szCs w:val="32"/>
          <w:lang w:val="en-US" w:eastAsia="zh-CN"/>
        </w:rPr>
        <w:t>件，协调沟通解决问题</w:t>
      </w:r>
      <w:r>
        <w:rPr>
          <w:rFonts w:hint="eastAsia" w:ascii="仿宋_GB2312" w:hAnsi="方正仿宋_GBK" w:eastAsia="仿宋_GB2312" w:cs="方正仿宋_GBK"/>
          <w:sz w:val="32"/>
          <w:szCs w:val="32"/>
          <w:lang w:val="en-US" w:eastAsia="zh-CN"/>
        </w:rPr>
        <w:t>2</w:t>
      </w:r>
      <w:r>
        <w:rPr>
          <w:rFonts w:hint="default" w:ascii="仿宋_GB2312" w:hAnsi="方正仿宋_GBK" w:eastAsia="仿宋_GB2312" w:cs="方正仿宋_GBK"/>
          <w:sz w:val="32"/>
          <w:szCs w:val="32"/>
          <w:lang w:val="en-US" w:eastAsia="zh-CN"/>
        </w:rPr>
        <w:t>件，下发纪律检查建议书</w:t>
      </w:r>
      <w:r>
        <w:rPr>
          <w:rFonts w:hint="eastAsia" w:ascii="仿宋_GB2312" w:hAnsi="方正仿宋_GBK" w:eastAsia="仿宋_GB2312" w:cs="方正仿宋_GBK"/>
          <w:sz w:val="32"/>
          <w:szCs w:val="32"/>
          <w:lang w:val="en-US" w:eastAsia="zh-CN"/>
        </w:rPr>
        <w:t>1</w:t>
      </w:r>
      <w:r>
        <w:rPr>
          <w:rFonts w:hint="default" w:ascii="仿宋_GB2312" w:hAnsi="方正仿宋_GBK" w:eastAsia="仿宋_GB2312" w:cs="方正仿宋_GBK"/>
          <w:sz w:val="32"/>
          <w:szCs w:val="32"/>
          <w:lang w:val="en-US" w:eastAsia="zh-CN"/>
        </w:rPr>
        <w:t>件，为全区开展“营商环境建设落实年活动”提供坚强纪律保障。</w:t>
      </w:r>
      <w:r>
        <w:rPr>
          <w:rFonts w:hint="eastAsia" w:ascii="仿宋_GB2312" w:hAnsi="方正仿宋_GBK" w:eastAsia="仿宋_GB2312" w:cs="方正仿宋_GBK"/>
          <w:kern w:val="2"/>
          <w:sz w:val="32"/>
          <w:szCs w:val="32"/>
        </w:rPr>
        <w:t>围绕群众关注焦点，</w:t>
      </w:r>
      <w:r>
        <w:rPr>
          <w:rFonts w:hint="eastAsia" w:ascii="仿宋_GB2312" w:hAnsi="仿宋_GB2312" w:eastAsia="仿宋_GB2312" w:cs="仿宋_GB2312"/>
          <w:bCs/>
          <w:color w:val="000000"/>
          <w:kern w:val="2"/>
          <w:sz w:val="32"/>
          <w:szCs w:val="32"/>
        </w:rPr>
        <w:t>坚持分行业分领域深入排查，重点督促主责部门解决教育医疗、生态环保、社保、住房等方面</w:t>
      </w:r>
      <w:r>
        <w:rPr>
          <w:rFonts w:hint="eastAsia" w:ascii="仿宋_GB2312" w:hAnsi="仿宋_GB2312" w:eastAsia="仿宋_GB2312" w:cs="仿宋_GB2312"/>
          <w:bCs/>
          <w:kern w:val="2"/>
          <w:sz w:val="32"/>
          <w:szCs w:val="32"/>
        </w:rPr>
        <w:t>80个</w:t>
      </w:r>
      <w:r>
        <w:rPr>
          <w:rFonts w:hint="eastAsia" w:ascii="仿宋_GB2312" w:hAnsi="仿宋_GB2312" w:eastAsia="仿宋_GB2312" w:cs="仿宋_GB2312"/>
          <w:bCs/>
          <w:color w:val="000000"/>
          <w:kern w:val="2"/>
          <w:sz w:val="32"/>
          <w:szCs w:val="32"/>
        </w:rPr>
        <w:t>侵害群众利益问题，群众</w:t>
      </w:r>
      <w:r>
        <w:rPr>
          <w:rFonts w:hint="eastAsia" w:ascii="仿宋_GB2312" w:hAnsi="仿宋_GB2312" w:eastAsia="仿宋_GB2312" w:cs="仿宋_GB2312"/>
          <w:bCs/>
          <w:color w:val="000000"/>
          <w:kern w:val="2"/>
          <w:sz w:val="32"/>
          <w:szCs w:val="32"/>
          <w:lang w:val="en-US" w:eastAsia="zh-CN"/>
        </w:rPr>
        <w:t>的</w:t>
      </w:r>
      <w:r>
        <w:rPr>
          <w:rFonts w:hint="eastAsia" w:ascii="仿宋_GB2312" w:hAnsi="仿宋_GB2312" w:eastAsia="仿宋_GB2312" w:cs="仿宋_GB2312"/>
          <w:bCs/>
          <w:color w:val="000000"/>
          <w:kern w:val="2"/>
          <w:sz w:val="32"/>
          <w:szCs w:val="32"/>
        </w:rPr>
        <w:t>获得感、幸福感、安全感不断增强。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Cs/>
          <w:color w:val="000000"/>
          <w:kern w:val="2"/>
          <w:sz w:val="32"/>
          <w:szCs w:val="32"/>
        </w:rPr>
      </w:pPr>
      <w:r>
        <w:rPr>
          <w:rFonts w:hint="eastAsia" w:ascii="楷体_GB2312" w:hAnsi="楷体_GB2312" w:eastAsia="楷体_GB2312" w:cs="楷体_GB2312"/>
          <w:b/>
          <w:bCs w:val="0"/>
          <w:color w:val="000000"/>
          <w:kern w:val="2"/>
          <w:sz w:val="32"/>
          <w:szCs w:val="32"/>
          <w:lang w:val="en-US" w:eastAsia="zh-CN"/>
        </w:rPr>
        <w:t>（3）持续深化纪检监察</w:t>
      </w:r>
      <w:r>
        <w:rPr>
          <w:rFonts w:hint="eastAsia" w:ascii="楷体_GB2312" w:hAnsi="楷体_GB2312" w:eastAsia="楷体_GB2312" w:cs="楷体_GB2312"/>
          <w:b/>
          <w:bCs w:val="0"/>
          <w:color w:val="000000"/>
          <w:kern w:val="2"/>
          <w:sz w:val="32"/>
          <w:szCs w:val="32"/>
        </w:rPr>
        <w:t>体制改革，不断提高规范化水平</w:t>
      </w:r>
      <w:r>
        <w:rPr>
          <w:rFonts w:hint="eastAsia" w:ascii="楷体_GB2312" w:hAnsi="楷体_GB2312" w:eastAsia="楷体_GB2312" w:cs="楷体_GB2312"/>
          <w:b/>
          <w:bCs w:val="0"/>
          <w:color w:val="000000"/>
          <w:kern w:val="2"/>
          <w:sz w:val="32"/>
          <w:szCs w:val="32"/>
          <w:lang w:eastAsia="zh-CN"/>
        </w:rPr>
        <w:t>。</w:t>
      </w:r>
      <w:r>
        <w:rPr>
          <w:rFonts w:hint="eastAsia" w:ascii="仿宋_GB2312" w:hAnsi="仿宋_GB2312" w:eastAsia="仿宋_GB2312" w:cs="仿宋_GB2312"/>
          <w:bCs/>
          <w:color w:val="000000"/>
          <w:kern w:val="2"/>
          <w:sz w:val="32"/>
          <w:szCs w:val="32"/>
        </w:rPr>
        <w:t>坚持党对纪检监察工作全覆盖、全方位、全过程领导，协助区委健全全面从严治党制度，持续推进党的纪律检查体制改革、国家监察体制改革、纪检监察机构改革</w:t>
      </w:r>
      <w:r>
        <w:rPr>
          <w:rFonts w:hint="eastAsia" w:ascii="仿宋_GB2312" w:hAnsi="仿宋_GB2312" w:eastAsia="仿宋_GB2312" w:cs="仿宋_GB2312"/>
          <w:bCs/>
          <w:color w:val="000000"/>
          <w:kern w:val="2"/>
          <w:sz w:val="32"/>
          <w:szCs w:val="32"/>
          <w:lang w:eastAsia="zh-CN"/>
        </w:rPr>
        <w:t>。</w:t>
      </w:r>
      <w:r>
        <w:rPr>
          <w:rFonts w:hint="eastAsia" w:ascii="仿宋_GB2312" w:hAnsi="仿宋_GB2312" w:eastAsia="仿宋_GB2312" w:cs="仿宋_GB2312"/>
          <w:bCs/>
          <w:color w:val="000000"/>
          <w:kern w:val="2"/>
          <w:sz w:val="32"/>
          <w:szCs w:val="32"/>
          <w:lang w:val="en-US" w:eastAsia="zh-CN"/>
        </w:rPr>
        <w:t>认真履行协助区委推进全面从严治党的职责，开展专项检查，推动各级党组织和党员领导干部严格执行《党委（党组）落实全面从严治党主体责任规定》，切实担负起主体责任、第一责任人责任和“一岗双责”。</w:t>
      </w:r>
      <w:r>
        <w:rPr>
          <w:rFonts w:hint="eastAsia" w:ascii="仿宋_GB2312" w:hAnsi="仿宋_GB2312" w:eastAsia="仿宋_GB2312" w:cs="仿宋_GB2312"/>
          <w:bCs/>
          <w:color w:val="000000"/>
          <w:kern w:val="2"/>
          <w:sz w:val="32"/>
          <w:szCs w:val="32"/>
        </w:rPr>
        <w:t>认真落实“两为主一报告”，及时向市纪委监委和区委报告报批报备有关事项18次。健全基层纪检监察组织制度，以乡镇街道机构改革为契机，配齐街道纪工委书记，并不断推进监察体制改革向基层延伸。对镇街纪委提出</w:t>
      </w:r>
      <w:r>
        <w:rPr>
          <w:rFonts w:hint="eastAsia" w:ascii="仿宋_GB2312" w:hAnsi="方正仿宋_GBK" w:eastAsia="仿宋_GB2312" w:cs="方正仿宋_GBK"/>
          <w:sz w:val="32"/>
          <w:szCs w:val="32"/>
        </w:rPr>
        <w:t>1112工作</w:t>
      </w:r>
      <w:r>
        <w:rPr>
          <w:rFonts w:hint="eastAsia" w:ascii="仿宋_GB2312" w:hAnsi="方正仿宋_GBK" w:eastAsia="仿宋_GB2312" w:cs="方正仿宋_GBK"/>
          <w:sz w:val="32"/>
          <w:szCs w:val="32"/>
          <w:lang w:val="en-US" w:eastAsia="zh-CN"/>
        </w:rPr>
        <w:t>目标</w:t>
      </w: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val="en-US" w:eastAsia="zh-CN"/>
        </w:rPr>
        <w:t>即</w:t>
      </w:r>
      <w:r>
        <w:rPr>
          <w:rFonts w:hint="eastAsia" w:ascii="仿宋_GB2312" w:hAnsi="方正仿宋_GBK" w:eastAsia="仿宋_GB2312" w:cs="方正仿宋_GBK"/>
          <w:sz w:val="32"/>
          <w:szCs w:val="32"/>
        </w:rPr>
        <w:t>融入一个系统</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纪检监察系统</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突出一个主业</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监督执纪问责</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明确一个目标</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“三不一体推进”</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实现两个打通</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打通基层监督最后一公里、打通服务群众最后一公里）</w:t>
      </w:r>
      <w:r>
        <w:rPr>
          <w:rFonts w:hint="eastAsia" w:ascii="仿宋_GB2312" w:hAnsi="仿宋_GB2312" w:eastAsia="仿宋_GB2312" w:cs="仿宋_GB2312"/>
          <w:bCs/>
          <w:color w:val="000000"/>
          <w:kern w:val="2"/>
          <w:sz w:val="32"/>
          <w:szCs w:val="32"/>
        </w:rPr>
        <w:t>，引导乡镇（街道）纪检监察机关找准监督角度、有效发挥职能作用。深入推进纪委监委派驻机构改革，统一设立3个派驻纪检监察组，配齐配强工作人员，监督区一级党和国家机关49家，通过谈心谈话、集中督查、列席重要会议、督促指导建立责任清单和权力清单等方式初步实现对综合监督部门的监督。逐步构建完善纪律监督、监察监督、派驻监督、巡察监督“四位一体”的监督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000000"/>
          <w:kern w:val="2"/>
          <w:sz w:val="32"/>
          <w:szCs w:val="32"/>
        </w:rPr>
      </w:pPr>
      <w:r>
        <w:rPr>
          <w:rFonts w:hint="eastAsia" w:ascii="楷体_GB2312" w:hAnsi="楷体_GB2312" w:eastAsia="楷体_GB2312" w:cs="楷体_GB2312"/>
          <w:b/>
          <w:bCs w:val="0"/>
          <w:color w:val="000000"/>
          <w:kern w:val="2"/>
          <w:sz w:val="32"/>
          <w:szCs w:val="32"/>
          <w:lang w:val="en-US" w:eastAsia="zh-CN"/>
        </w:rPr>
        <w:t>（4）发挥专责监督作用</w:t>
      </w:r>
      <w:r>
        <w:rPr>
          <w:rFonts w:hint="eastAsia" w:ascii="楷体_GB2312" w:hAnsi="楷体_GB2312" w:eastAsia="楷体_GB2312" w:cs="楷体_GB2312"/>
          <w:b/>
          <w:bCs w:val="0"/>
          <w:color w:val="000000"/>
          <w:kern w:val="2"/>
          <w:sz w:val="32"/>
          <w:szCs w:val="32"/>
        </w:rPr>
        <w:t>，</w:t>
      </w:r>
      <w:r>
        <w:rPr>
          <w:rFonts w:hint="eastAsia" w:ascii="楷体_GB2312" w:hAnsi="楷体_GB2312" w:eastAsia="楷体_GB2312" w:cs="楷体_GB2312"/>
          <w:b/>
          <w:bCs w:val="0"/>
          <w:color w:val="000000"/>
          <w:kern w:val="2"/>
          <w:sz w:val="32"/>
          <w:szCs w:val="32"/>
          <w:lang w:val="en-US" w:eastAsia="zh-CN"/>
        </w:rPr>
        <w:t>切实加强对权力运行的监督</w:t>
      </w:r>
      <w:r>
        <w:rPr>
          <w:rFonts w:hint="eastAsia" w:ascii="楷体_GB2312" w:hAnsi="楷体_GB2312" w:eastAsia="楷体_GB2312" w:cs="楷体_GB2312"/>
          <w:b/>
          <w:bCs w:val="0"/>
          <w:color w:val="000000"/>
          <w:kern w:val="2"/>
          <w:sz w:val="32"/>
          <w:szCs w:val="32"/>
          <w:lang w:eastAsia="zh-CN"/>
        </w:rPr>
        <w:t>。</w:t>
      </w:r>
      <w:r>
        <w:rPr>
          <w:rFonts w:hint="eastAsia" w:ascii="仿宋_GB2312" w:hAnsi="仿宋_GB2312" w:eastAsia="仿宋_GB2312" w:cs="仿宋_GB2312"/>
          <w:bCs/>
          <w:color w:val="000000"/>
          <w:kern w:val="2"/>
          <w:sz w:val="32"/>
          <w:szCs w:val="32"/>
        </w:rPr>
        <w:t>做深做实监督职责，坚持聚焦关键领域、关键人群、关键节点，有针对性地开展重点监督和专项监督，做到方向明确、目标明晰、效果明显。</w:t>
      </w:r>
      <w:r>
        <w:rPr>
          <w:rFonts w:hint="eastAsia" w:ascii="仿宋_GB2312" w:hAnsi="仿宋_GB2312" w:eastAsia="仿宋_GB2312" w:cs="仿宋_GB2312"/>
          <w:bCs/>
          <w:color w:val="000000"/>
          <w:kern w:val="2"/>
          <w:sz w:val="32"/>
          <w:szCs w:val="32"/>
          <w:lang w:val="en-US" w:eastAsia="zh-CN"/>
        </w:rPr>
        <w:t>认真落实《纪检监察机关处理检举控告工作规则》，</w:t>
      </w:r>
      <w:r>
        <w:rPr>
          <w:rFonts w:hint="eastAsia" w:ascii="仿宋_GB2312" w:hAnsi="仿宋_GB2312" w:eastAsia="仿宋_GB2312" w:cs="仿宋_GB2312"/>
          <w:bCs/>
          <w:color w:val="000000"/>
          <w:kern w:val="2"/>
          <w:sz w:val="32"/>
          <w:szCs w:val="32"/>
        </w:rPr>
        <w:t>强化信访监督，推进检举举报平台建设</w:t>
      </w:r>
      <w:r>
        <w:rPr>
          <w:rFonts w:hint="eastAsia" w:ascii="仿宋_GB2312" w:hAnsi="仿宋_GB2312" w:eastAsia="仿宋_GB2312" w:cs="仿宋_GB2312"/>
          <w:bCs/>
          <w:color w:val="000000"/>
          <w:kern w:val="2"/>
          <w:sz w:val="32"/>
          <w:szCs w:val="32"/>
          <w:lang w:eastAsia="zh-CN"/>
        </w:rPr>
        <w:t>。</w:t>
      </w:r>
      <w:r>
        <w:rPr>
          <w:rFonts w:hint="eastAsia" w:ascii="仿宋_GB2312" w:hAnsi="仿宋_GB2312" w:eastAsia="仿宋_GB2312" w:cs="仿宋_GB2312"/>
          <w:bCs/>
          <w:color w:val="000000"/>
          <w:kern w:val="2"/>
          <w:sz w:val="32"/>
          <w:szCs w:val="32"/>
        </w:rPr>
        <w:t>坚持惩前毖后、治病救人，严管厚爱结合、激励约束并重，综合考虑事实证据、思想态度和量纪执法标准，准确妥善运用“四种形态”。</w:t>
      </w:r>
      <w:r>
        <w:rPr>
          <w:rFonts w:hint="eastAsia" w:ascii="仿宋_GB2312" w:hAnsi="仿宋_GB2312" w:eastAsia="仿宋_GB2312" w:cs="仿宋_GB2312"/>
          <w:bCs/>
          <w:color w:val="000000"/>
          <w:kern w:val="2"/>
          <w:sz w:val="32"/>
          <w:szCs w:val="32"/>
          <w:lang w:val="en-US" w:eastAsia="zh-CN"/>
        </w:rPr>
        <w:t>2020年</w:t>
      </w:r>
      <w:r>
        <w:rPr>
          <w:rFonts w:hint="eastAsia" w:ascii="仿宋_GB2312" w:hAnsi="仿宋_GB2312" w:eastAsia="仿宋_GB2312" w:cs="仿宋_GB2312"/>
          <w:bCs/>
          <w:color w:val="000000"/>
          <w:kern w:val="2"/>
          <w:sz w:val="32"/>
          <w:szCs w:val="32"/>
        </w:rPr>
        <w:t>全区纪检监察机关运用“四种形态”批评教育帮助和处理共136人次。其中，运用第一种形态批评教育帮助83人次，运用第二种形态处理42人次，运用第三种形态处理7人次，运用第四种形态处理4人次，</w:t>
      </w:r>
      <w:r>
        <w:rPr>
          <w:rFonts w:hint="eastAsia" w:ascii="仿宋_GB2312" w:hAnsi="仿宋_GB2312" w:eastAsia="仿宋_GB2312" w:cs="仿宋_GB2312"/>
          <w:bCs/>
          <w:color w:val="000000"/>
          <w:kern w:val="2"/>
          <w:sz w:val="32"/>
          <w:szCs w:val="32"/>
          <w:lang w:val="en-US" w:eastAsia="zh-CN"/>
        </w:rPr>
        <w:t>依次</w:t>
      </w:r>
      <w:r>
        <w:rPr>
          <w:rFonts w:hint="eastAsia" w:ascii="仿宋_GB2312" w:hAnsi="仿宋_GB2312" w:eastAsia="仿宋_GB2312" w:cs="仿宋_GB2312"/>
          <w:bCs/>
          <w:color w:val="000000"/>
          <w:kern w:val="2"/>
          <w:sz w:val="32"/>
          <w:szCs w:val="32"/>
        </w:rPr>
        <w:t>占</w:t>
      </w:r>
      <w:r>
        <w:rPr>
          <w:rFonts w:hint="eastAsia" w:ascii="仿宋_GB2312" w:hAnsi="仿宋_GB2312" w:eastAsia="仿宋_GB2312" w:cs="仿宋_GB2312"/>
          <w:bCs/>
          <w:color w:val="000000"/>
          <w:kern w:val="2"/>
          <w:sz w:val="32"/>
          <w:szCs w:val="32"/>
          <w:lang w:val="en-US" w:eastAsia="zh-CN"/>
        </w:rPr>
        <w:t>比为</w:t>
      </w:r>
      <w:r>
        <w:rPr>
          <w:rFonts w:hint="eastAsia" w:ascii="仿宋_GB2312" w:hAnsi="仿宋_GB2312" w:eastAsia="仿宋_GB2312" w:cs="仿宋_GB2312"/>
          <w:bCs/>
          <w:color w:val="000000"/>
          <w:kern w:val="2"/>
          <w:sz w:val="32"/>
          <w:szCs w:val="32"/>
        </w:rPr>
        <w:t>61%</w:t>
      </w:r>
      <w:r>
        <w:rPr>
          <w:rFonts w:hint="eastAsia" w:ascii="仿宋_GB2312" w:hAnsi="仿宋_GB2312" w:eastAsia="仿宋_GB2312" w:cs="仿宋_GB2312"/>
          <w:bCs/>
          <w:color w:val="000000"/>
          <w:kern w:val="2"/>
          <w:sz w:val="32"/>
          <w:szCs w:val="32"/>
          <w:lang w:eastAsia="zh-CN"/>
        </w:rPr>
        <w:t>；</w:t>
      </w:r>
      <w:r>
        <w:rPr>
          <w:rFonts w:hint="eastAsia" w:ascii="仿宋_GB2312" w:hAnsi="仿宋_GB2312" w:eastAsia="仿宋_GB2312" w:cs="仿宋_GB2312"/>
          <w:bCs/>
          <w:color w:val="000000"/>
          <w:kern w:val="2"/>
          <w:sz w:val="32"/>
          <w:szCs w:val="32"/>
        </w:rPr>
        <w:t>30.9%；5.2%；2.9%。</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Cs/>
          <w:color w:val="000000"/>
          <w:sz w:val="32"/>
          <w:szCs w:val="32"/>
        </w:rPr>
      </w:pPr>
      <w:r>
        <w:rPr>
          <w:rFonts w:hint="eastAsia" w:ascii="楷体_GB2312" w:hAnsi="楷体_GB2312" w:eastAsia="楷体_GB2312" w:cs="楷体_GB2312"/>
          <w:b/>
          <w:bCs w:val="0"/>
          <w:color w:val="000000"/>
          <w:kern w:val="2"/>
          <w:sz w:val="32"/>
          <w:szCs w:val="32"/>
          <w:lang w:val="en-US" w:eastAsia="zh-CN"/>
        </w:rPr>
        <w:t>（5）驰而不息纠治“四风”</w:t>
      </w:r>
      <w:r>
        <w:rPr>
          <w:rFonts w:hint="eastAsia" w:ascii="楷体_GB2312" w:hAnsi="楷体_GB2312" w:eastAsia="楷体_GB2312" w:cs="楷体_GB2312"/>
          <w:b/>
          <w:bCs w:val="0"/>
          <w:color w:val="000000"/>
          <w:kern w:val="2"/>
          <w:sz w:val="32"/>
          <w:szCs w:val="32"/>
        </w:rPr>
        <w:t>，</w:t>
      </w:r>
      <w:r>
        <w:rPr>
          <w:rFonts w:hint="eastAsia" w:ascii="楷体_GB2312" w:hAnsi="楷体_GB2312" w:eastAsia="楷体_GB2312" w:cs="楷体_GB2312"/>
          <w:b/>
          <w:bCs w:val="0"/>
          <w:color w:val="000000"/>
          <w:kern w:val="2"/>
          <w:sz w:val="32"/>
          <w:szCs w:val="32"/>
          <w:lang w:val="en-US" w:eastAsia="zh-CN"/>
        </w:rPr>
        <w:t>巩固拓展作风建设成效</w:t>
      </w:r>
      <w:r>
        <w:rPr>
          <w:rFonts w:hint="eastAsia" w:ascii="楷体_GB2312" w:hAnsi="楷体_GB2312" w:eastAsia="楷体_GB2312" w:cs="楷体_GB2312"/>
          <w:b/>
          <w:bCs w:val="0"/>
          <w:color w:val="000000"/>
          <w:kern w:val="2"/>
          <w:sz w:val="32"/>
          <w:szCs w:val="32"/>
          <w:lang w:eastAsia="zh-CN"/>
        </w:rPr>
        <w:t>。</w:t>
      </w:r>
      <w:r>
        <w:rPr>
          <w:rFonts w:hint="eastAsia" w:ascii="仿宋_GB2312" w:hAnsi="仿宋_GB2312" w:eastAsia="仿宋_GB2312" w:cs="仿宋_GB2312"/>
          <w:bCs/>
          <w:color w:val="000000"/>
          <w:kern w:val="2"/>
          <w:sz w:val="32"/>
          <w:szCs w:val="32"/>
        </w:rPr>
        <w:t>坚决把整治“四风”融入工作全局，对落实党中央、省、市、区委决策部署中的形式主义、官僚主义问题作出专门部署，切实纠治文山会海、督查检查考核过多过频</w:t>
      </w:r>
      <w:r>
        <w:rPr>
          <w:rFonts w:hint="eastAsia" w:ascii="仿宋_GB2312" w:hAnsi="仿宋_GB2312" w:eastAsia="仿宋_GB2312" w:cs="仿宋_GB2312"/>
          <w:bCs/>
          <w:color w:val="000000"/>
          <w:kern w:val="2"/>
          <w:sz w:val="32"/>
          <w:szCs w:val="32"/>
          <w:lang w:val="en-US" w:eastAsia="zh-CN"/>
        </w:rPr>
        <w:t>和</w:t>
      </w:r>
      <w:r>
        <w:rPr>
          <w:rFonts w:hint="eastAsia" w:ascii="仿宋_GB2312" w:hAnsi="仿宋_GB2312" w:eastAsia="仿宋_GB2312" w:cs="仿宋_GB2312"/>
          <w:bCs/>
          <w:color w:val="000000"/>
          <w:kern w:val="2"/>
          <w:sz w:val="32"/>
          <w:szCs w:val="32"/>
        </w:rPr>
        <w:t>过度留痕等加重基层负担问题。坚持日常监督和专项督查相结合，一个节点一个节点坚守，深挖细查顶风违纪、隐形变异问题，持续整治违规收送礼品礼金、违规吃喝、违规发放津贴补贴等突出问题，坚决防止“四风”反弹回潮。</w:t>
      </w:r>
      <w:r>
        <w:rPr>
          <w:rFonts w:hint="eastAsia" w:ascii="仿宋_GB2312" w:hAnsi="仿宋_GB2312" w:eastAsia="仿宋_GB2312" w:cs="仿宋_GB2312"/>
          <w:bCs/>
          <w:color w:val="000000"/>
          <w:kern w:val="2"/>
          <w:sz w:val="32"/>
          <w:szCs w:val="32"/>
          <w:lang w:val="en-US" w:eastAsia="zh-CN"/>
        </w:rPr>
        <w:t>全年</w:t>
      </w:r>
      <w:r>
        <w:rPr>
          <w:rFonts w:hint="eastAsia" w:ascii="仿宋_GB2312" w:hAnsi="仿宋_GB2312" w:eastAsia="仿宋_GB2312" w:cs="仿宋_GB2312"/>
          <w:bCs/>
          <w:color w:val="000000"/>
          <w:kern w:val="2"/>
          <w:sz w:val="32"/>
          <w:szCs w:val="32"/>
        </w:rPr>
        <w:t>在全区范围内开展专项检查11次，发现违反中央八项规定和“四风”问题7件，问责7人次，诫勉谈话2人次，通报批评1人次，提醒谈话4人次。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color w:val="000000"/>
          <w:sz w:val="32"/>
          <w:szCs w:val="32"/>
        </w:rPr>
      </w:pPr>
      <w:r>
        <w:rPr>
          <w:rFonts w:hint="eastAsia" w:ascii="楷体_GB2312" w:hAnsi="楷体_GB2312" w:eastAsia="楷体_GB2312" w:cs="楷体_GB2312"/>
          <w:b/>
          <w:bCs w:val="0"/>
          <w:color w:val="000000"/>
          <w:kern w:val="2"/>
          <w:sz w:val="32"/>
          <w:szCs w:val="32"/>
          <w:lang w:val="en-US" w:eastAsia="zh-CN"/>
        </w:rPr>
        <w:t>（6）深化政治巡察职能，利剑作用更加彰显</w:t>
      </w:r>
      <w:r>
        <w:rPr>
          <w:rFonts w:hint="eastAsia" w:ascii="楷体_GB2312" w:hAnsi="楷体_GB2312" w:eastAsia="楷体_GB2312" w:cs="楷体_GB2312"/>
          <w:b/>
          <w:bCs w:val="0"/>
          <w:color w:val="000000"/>
          <w:kern w:val="2"/>
          <w:sz w:val="32"/>
          <w:szCs w:val="32"/>
          <w:lang w:eastAsia="zh-CN"/>
        </w:rPr>
        <w:t>。</w:t>
      </w:r>
      <w:r>
        <w:rPr>
          <w:rFonts w:hint="eastAsia" w:ascii="仿宋_GB2312" w:hAnsi="仿宋_GB2312" w:eastAsia="仿宋_GB2312" w:cs="仿宋_GB2312"/>
          <w:bCs/>
          <w:color w:val="000000"/>
          <w:kern w:val="2"/>
          <w:sz w:val="32"/>
          <w:szCs w:val="32"/>
          <w:lang w:val="en-US" w:eastAsia="zh-CN"/>
        </w:rPr>
        <w:t>高质量推进巡察全覆盖，</w:t>
      </w:r>
      <w:r>
        <w:rPr>
          <w:rFonts w:hint="eastAsia" w:ascii="仿宋_GB2312" w:hAnsi="仿宋_GB2312" w:eastAsia="仿宋_GB2312" w:cs="仿宋_GB2312"/>
          <w:bCs/>
          <w:color w:val="000000"/>
          <w:kern w:val="2"/>
          <w:sz w:val="32"/>
          <w:szCs w:val="32"/>
        </w:rPr>
        <w:t>部署开展十届区委第六轮、第七轮巡察，</w:t>
      </w:r>
      <w:r>
        <w:rPr>
          <w:rFonts w:hint="eastAsia" w:ascii="仿宋_GB2312" w:hAnsi="仿宋" w:eastAsia="仿宋_GB2312"/>
          <w:kern w:val="2"/>
          <w:sz w:val="32"/>
          <w:szCs w:val="32"/>
        </w:rPr>
        <w:t>对1</w:t>
      </w:r>
      <w:r>
        <w:rPr>
          <w:rFonts w:ascii="仿宋_GB2312" w:hAnsi="仿宋" w:eastAsia="仿宋_GB2312"/>
          <w:kern w:val="2"/>
          <w:sz w:val="32"/>
          <w:szCs w:val="32"/>
        </w:rPr>
        <w:t>2</w:t>
      </w:r>
      <w:r>
        <w:rPr>
          <w:rFonts w:hint="eastAsia" w:ascii="仿宋_GB2312" w:hAnsi="仿宋" w:eastAsia="仿宋_GB2312"/>
          <w:kern w:val="2"/>
          <w:sz w:val="32"/>
          <w:szCs w:val="32"/>
        </w:rPr>
        <w:t>个区直单位、5所中学、1</w:t>
      </w:r>
      <w:r>
        <w:rPr>
          <w:rFonts w:ascii="仿宋_GB2312" w:hAnsi="仿宋" w:eastAsia="仿宋_GB2312"/>
          <w:kern w:val="2"/>
          <w:sz w:val="32"/>
          <w:szCs w:val="32"/>
        </w:rPr>
        <w:t>4</w:t>
      </w:r>
      <w:r>
        <w:rPr>
          <w:rFonts w:hint="eastAsia" w:ascii="仿宋_GB2312" w:hAnsi="仿宋" w:eastAsia="仿宋_GB2312"/>
          <w:kern w:val="2"/>
          <w:sz w:val="32"/>
          <w:szCs w:val="32"/>
        </w:rPr>
        <w:t>个村级党组织开展常规巡察</w:t>
      </w:r>
      <w:r>
        <w:rPr>
          <w:rFonts w:hint="eastAsia" w:ascii="仿宋_GB2312" w:hAnsi="仿宋" w:eastAsia="仿宋_GB2312"/>
          <w:kern w:val="2"/>
          <w:sz w:val="32"/>
          <w:szCs w:val="32"/>
          <w:lang w:eastAsia="zh-CN"/>
        </w:rPr>
        <w:t>。</w:t>
      </w:r>
      <w:r>
        <w:rPr>
          <w:rFonts w:hint="eastAsia" w:ascii="仿宋_GB2312" w:hAnsi="仿宋" w:eastAsia="仿宋_GB2312"/>
          <w:kern w:val="2"/>
          <w:sz w:val="32"/>
          <w:szCs w:val="32"/>
        </w:rPr>
        <w:t>按照市委安排对区法院开展联动巡察，区委第七轮巡察结束后，</w:t>
      </w:r>
      <w:bookmarkStart w:id="0" w:name="_Hlk58010192"/>
      <w:r>
        <w:rPr>
          <w:rFonts w:hint="eastAsia" w:ascii="仿宋_GB2312" w:hAnsi="仿宋" w:eastAsia="仿宋_GB2312"/>
          <w:kern w:val="2"/>
          <w:sz w:val="32"/>
          <w:szCs w:val="32"/>
        </w:rPr>
        <w:t>累计巡察区直单位6</w:t>
      </w:r>
      <w:r>
        <w:rPr>
          <w:rFonts w:ascii="仿宋_GB2312" w:hAnsi="仿宋" w:eastAsia="仿宋_GB2312"/>
          <w:kern w:val="2"/>
          <w:sz w:val="32"/>
          <w:szCs w:val="32"/>
        </w:rPr>
        <w:t>1</w:t>
      </w:r>
      <w:r>
        <w:rPr>
          <w:rFonts w:hint="eastAsia" w:ascii="仿宋_GB2312" w:hAnsi="仿宋" w:eastAsia="仿宋_GB2312"/>
          <w:kern w:val="2"/>
          <w:sz w:val="32"/>
          <w:szCs w:val="32"/>
        </w:rPr>
        <w:t>个、完成全覆盖任务</w:t>
      </w:r>
      <w:r>
        <w:rPr>
          <w:rFonts w:ascii="仿宋_GB2312" w:hAnsi="仿宋" w:eastAsia="仿宋_GB2312"/>
          <w:kern w:val="2"/>
          <w:sz w:val="32"/>
          <w:szCs w:val="32"/>
        </w:rPr>
        <w:t>97%</w:t>
      </w:r>
      <w:r>
        <w:rPr>
          <w:rFonts w:hint="eastAsia" w:ascii="仿宋_GB2312" w:hAnsi="仿宋" w:eastAsia="仿宋_GB2312"/>
          <w:kern w:val="2"/>
          <w:sz w:val="32"/>
          <w:szCs w:val="32"/>
        </w:rPr>
        <w:t>，</w:t>
      </w:r>
      <w:bookmarkEnd w:id="0"/>
      <w:r>
        <w:rPr>
          <w:rFonts w:hint="eastAsia" w:ascii="仿宋_GB2312" w:hAnsi="仿宋" w:eastAsia="仿宋_GB2312"/>
          <w:kern w:val="2"/>
          <w:sz w:val="32"/>
          <w:szCs w:val="32"/>
        </w:rPr>
        <w:t>累计巡察村（社区）</w:t>
      </w:r>
      <w:r>
        <w:rPr>
          <w:rFonts w:ascii="仿宋_GB2312" w:hAnsi="仿宋" w:eastAsia="仿宋_GB2312"/>
          <w:kern w:val="2"/>
          <w:sz w:val="32"/>
          <w:szCs w:val="32"/>
        </w:rPr>
        <w:t>57</w:t>
      </w:r>
      <w:r>
        <w:rPr>
          <w:rFonts w:hint="eastAsia" w:ascii="仿宋_GB2312" w:hAnsi="仿宋" w:eastAsia="仿宋_GB2312"/>
          <w:kern w:val="2"/>
          <w:sz w:val="32"/>
          <w:szCs w:val="32"/>
        </w:rPr>
        <w:t>个、完成全覆盖任务</w:t>
      </w:r>
      <w:r>
        <w:rPr>
          <w:rFonts w:ascii="仿宋_GB2312" w:hAnsi="仿宋" w:eastAsia="仿宋_GB2312"/>
          <w:kern w:val="2"/>
          <w:sz w:val="32"/>
          <w:szCs w:val="32"/>
        </w:rPr>
        <w:t>93%</w:t>
      </w:r>
      <w:r>
        <w:rPr>
          <w:rFonts w:hint="eastAsia" w:ascii="仿宋_GB2312" w:hAnsi="仿宋" w:eastAsia="仿宋_GB2312"/>
          <w:kern w:val="2"/>
          <w:sz w:val="32"/>
          <w:szCs w:val="32"/>
        </w:rPr>
        <w:t>。积极开展省市区联动专项巡察，</w:t>
      </w:r>
      <w:r>
        <w:rPr>
          <w:rFonts w:hint="eastAsia" w:ascii="仿宋_GB2312" w:hAnsi="仿宋" w:eastAsia="仿宋_GB2312" w:cs="宋体"/>
          <w:sz w:val="32"/>
          <w:szCs w:val="32"/>
        </w:rPr>
        <w:t>协助配合省委专项巡视组、市委专项巡察组对全区治理华北“大漏斗”和地下水超采综合治理、生态环境治理、“去产能”、六个重点领域清理规范任务落实情况开展专项巡察。强化巡察整改，市委提级巡察和区委第五轮巡察共向被巡察单位反馈问题290个，完成整改288个，整改</w:t>
      </w:r>
      <w:r>
        <w:rPr>
          <w:rFonts w:hint="eastAsia" w:ascii="仿宋_GB2312" w:hAnsi="Calibri" w:eastAsia="仿宋_GB2312"/>
          <w:kern w:val="2"/>
          <w:sz w:val="32"/>
          <w:szCs w:val="32"/>
        </w:rPr>
        <w:t>率达到</w:t>
      </w:r>
      <w:r>
        <w:rPr>
          <w:rFonts w:ascii="仿宋_GB2312" w:hAnsi="Calibri" w:eastAsia="仿宋_GB2312"/>
          <w:kern w:val="2"/>
          <w:sz w:val="32"/>
          <w:szCs w:val="32"/>
        </w:rPr>
        <w:t>9</w:t>
      </w:r>
      <w:r>
        <w:rPr>
          <w:rFonts w:hint="eastAsia" w:ascii="仿宋_GB2312" w:hAnsi="Calibri" w:eastAsia="仿宋_GB2312"/>
          <w:kern w:val="2"/>
          <w:sz w:val="32"/>
          <w:szCs w:val="32"/>
        </w:rPr>
        <w:t>9.31%。</w:t>
      </w:r>
      <w:r>
        <w:rPr>
          <w:rFonts w:hint="eastAsia" w:ascii="仿宋_GB2312" w:hAnsi="Calibri" w:eastAsia="仿宋_GB2312"/>
          <w:kern w:val="2"/>
          <w:sz w:val="32"/>
          <w:szCs w:val="32"/>
          <w:lang w:val="en-US" w:eastAsia="zh-CN"/>
        </w:rPr>
        <w:t>持续巩固提升巡察成果，</w:t>
      </w:r>
      <w:r>
        <w:rPr>
          <w:rFonts w:hint="eastAsia" w:ascii="仿宋_GB2312" w:hAnsi="仿宋_GB2312" w:eastAsia="仿宋_GB2312" w:cs="仿宋_GB2312"/>
          <w:bCs/>
          <w:color w:val="000000"/>
          <w:kern w:val="2"/>
          <w:sz w:val="32"/>
          <w:szCs w:val="32"/>
        </w:rPr>
        <w:t>建立健全巡视巡察整改日常监督机制，压实区纪委监委各监督检查室责任，对十届区委第四轮、第五轮、第六轮被巡察过的单位党组织巡察整改情况开展日常监督，</w:t>
      </w:r>
      <w:r>
        <w:rPr>
          <w:rFonts w:hint="eastAsia" w:ascii="仿宋_GB2312" w:hAnsi="仿宋_GB2312" w:eastAsia="仿宋_GB2312" w:cs="仿宋_GB2312"/>
          <w:bCs/>
          <w:color w:val="000000"/>
          <w:sz w:val="32"/>
          <w:szCs w:val="32"/>
        </w:rPr>
        <w:t>3个监督检查室共提出审核意见27条，相关责任单位巡察反馈问题已全部整改到位。</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Cs/>
          <w:color w:val="000000"/>
          <w:kern w:val="2"/>
          <w:sz w:val="32"/>
          <w:szCs w:val="32"/>
        </w:rPr>
      </w:pPr>
      <w:r>
        <w:rPr>
          <w:rFonts w:hint="eastAsia" w:ascii="楷体_GB2312" w:hAnsi="楷体_GB2312" w:eastAsia="楷体_GB2312" w:cs="楷体_GB2312"/>
          <w:b/>
          <w:bCs w:val="0"/>
          <w:color w:val="000000"/>
          <w:kern w:val="2"/>
          <w:sz w:val="32"/>
          <w:szCs w:val="32"/>
          <w:lang w:eastAsia="zh-CN"/>
        </w:rPr>
        <w:t>（</w:t>
      </w:r>
      <w:r>
        <w:rPr>
          <w:rFonts w:hint="eastAsia" w:ascii="楷体_GB2312" w:hAnsi="楷体_GB2312" w:eastAsia="楷体_GB2312" w:cs="楷体_GB2312"/>
          <w:b/>
          <w:bCs w:val="0"/>
          <w:color w:val="000000"/>
          <w:kern w:val="2"/>
          <w:sz w:val="32"/>
          <w:szCs w:val="32"/>
          <w:lang w:val="en-US" w:eastAsia="zh-CN"/>
        </w:rPr>
        <w:t>7</w:t>
      </w:r>
      <w:r>
        <w:rPr>
          <w:rFonts w:hint="eastAsia" w:ascii="楷体_GB2312" w:hAnsi="楷体_GB2312" w:eastAsia="楷体_GB2312" w:cs="楷体_GB2312"/>
          <w:b/>
          <w:bCs w:val="0"/>
          <w:color w:val="000000"/>
          <w:kern w:val="2"/>
          <w:sz w:val="32"/>
          <w:szCs w:val="32"/>
          <w:lang w:eastAsia="zh-CN"/>
        </w:rPr>
        <w:t>）</w:t>
      </w:r>
      <w:r>
        <w:rPr>
          <w:rFonts w:hint="eastAsia" w:ascii="楷体_GB2312" w:hAnsi="楷体_GB2312" w:eastAsia="楷体_GB2312" w:cs="楷体_GB2312"/>
          <w:b/>
          <w:bCs w:val="0"/>
          <w:color w:val="000000"/>
          <w:kern w:val="2"/>
          <w:sz w:val="32"/>
          <w:szCs w:val="32"/>
          <w:lang w:val="en-US" w:eastAsia="zh-CN"/>
        </w:rPr>
        <w:t>一体推进不敢腐、不能腐、不想腐</w:t>
      </w:r>
      <w:r>
        <w:rPr>
          <w:rFonts w:hint="eastAsia" w:ascii="楷体_GB2312" w:hAnsi="楷体_GB2312" w:eastAsia="楷体_GB2312" w:cs="楷体_GB2312"/>
          <w:b/>
          <w:bCs w:val="0"/>
          <w:color w:val="000000"/>
          <w:kern w:val="2"/>
          <w:sz w:val="32"/>
          <w:szCs w:val="32"/>
        </w:rPr>
        <w:t>，继续保持惩治腐败高压态势</w:t>
      </w:r>
      <w:r>
        <w:rPr>
          <w:rFonts w:hint="eastAsia" w:ascii="楷体_GB2312" w:hAnsi="楷体_GB2312" w:eastAsia="楷体_GB2312" w:cs="楷体_GB2312"/>
          <w:b/>
          <w:bCs w:val="0"/>
          <w:color w:val="000000"/>
          <w:kern w:val="2"/>
          <w:sz w:val="32"/>
          <w:szCs w:val="32"/>
          <w:lang w:eastAsia="zh-CN"/>
        </w:rPr>
        <w:t>。</w:t>
      </w:r>
      <w:r>
        <w:rPr>
          <w:rFonts w:hint="eastAsia" w:ascii="仿宋_GB2312" w:hAnsi="仿宋_GB2312" w:eastAsia="仿宋_GB2312" w:cs="仿宋_GB2312"/>
          <w:bCs/>
          <w:color w:val="000000"/>
          <w:kern w:val="2"/>
          <w:sz w:val="32"/>
          <w:szCs w:val="32"/>
        </w:rPr>
        <w:t>深刻把握“反腐败斗争取得压倒性胜利”、“对形势的严峻性和复杂性一点也不能低估”重大判断和要求，正确把握不敢腐、不能腐、不想腐内在联系，持续深化标本兼治，“三不”一体推进综合效应充分显现。突出存量清零、增量随清，对党的十八大后不收敛不收手，特别是十九大后仍不知止、胆大妄为的，发现一起查处一起。</w:t>
      </w:r>
      <w:r>
        <w:rPr>
          <w:rFonts w:hint="eastAsia" w:ascii="仿宋_GB2312" w:hAnsi="仿宋_GB2312" w:eastAsia="仿宋_GB2312" w:cs="仿宋_GB2312"/>
          <w:bCs/>
          <w:color w:val="000000"/>
          <w:kern w:val="2"/>
          <w:sz w:val="32"/>
          <w:szCs w:val="32"/>
          <w:lang w:val="en-US" w:eastAsia="zh-CN"/>
        </w:rPr>
        <w:t>全年</w:t>
      </w:r>
      <w:r>
        <w:rPr>
          <w:rFonts w:hint="eastAsia" w:ascii="仿宋_GB2312" w:hAnsi="仿宋_GB2312" w:eastAsia="仿宋_GB2312" w:cs="仿宋_GB2312"/>
          <w:bCs/>
          <w:color w:val="000000"/>
          <w:kern w:val="2"/>
          <w:sz w:val="32"/>
          <w:szCs w:val="32"/>
        </w:rPr>
        <w:t>共接收信访举报103件次，处置问题线索62件，谈话函询</w:t>
      </w:r>
      <w:r>
        <w:rPr>
          <w:rFonts w:hint="eastAsia" w:ascii="仿宋_GB2312" w:hAnsi="仿宋_GB2312" w:eastAsia="仿宋_GB2312" w:cs="仿宋_GB2312"/>
          <w:bCs/>
          <w:color w:val="000000"/>
          <w:kern w:val="2"/>
          <w:sz w:val="32"/>
          <w:szCs w:val="32"/>
          <w:lang w:val="en-US" w:eastAsia="zh-CN"/>
        </w:rPr>
        <w:t>12</w:t>
      </w:r>
      <w:r>
        <w:rPr>
          <w:rFonts w:hint="eastAsia" w:ascii="仿宋_GB2312" w:hAnsi="仿宋_GB2312" w:eastAsia="仿宋_GB2312" w:cs="仿宋_GB2312"/>
          <w:bCs/>
          <w:color w:val="000000"/>
          <w:kern w:val="2"/>
          <w:sz w:val="32"/>
          <w:szCs w:val="32"/>
        </w:rPr>
        <w:t>件次，立案50件，处分52人。处分乡科级干部7人，一般干部5人，农村、企业等其他人员40人。充分发挥纪检监察建议书作用，督促涉案单位加强教育、深化整改、健全制度，</w:t>
      </w:r>
      <w:r>
        <w:rPr>
          <w:rFonts w:hint="eastAsia" w:ascii="仿宋_GB2312" w:hAnsi="仿宋_GB2312" w:eastAsia="仿宋_GB2312" w:cs="仿宋_GB2312"/>
          <w:bCs/>
          <w:color w:val="000000"/>
          <w:kern w:val="2"/>
          <w:sz w:val="32"/>
          <w:szCs w:val="32"/>
          <w:lang w:val="en-US" w:eastAsia="zh-CN"/>
        </w:rPr>
        <w:t>全</w:t>
      </w:r>
      <w:r>
        <w:rPr>
          <w:rFonts w:hint="eastAsia" w:ascii="仿宋_GB2312" w:hAnsi="仿宋_GB2312" w:eastAsia="仿宋_GB2312" w:cs="仿宋_GB2312"/>
          <w:bCs/>
          <w:color w:val="000000"/>
          <w:kern w:val="2"/>
          <w:sz w:val="32"/>
          <w:szCs w:val="32"/>
        </w:rPr>
        <w:t>年共累计下发纪检监察建议书21份。坚持严字当头，召开了警示教育大会，通报了7个方面，52名干部典型案例，用身边事教育身边人，</w:t>
      </w:r>
      <w:r>
        <w:rPr>
          <w:rFonts w:hint="eastAsia" w:ascii="仿宋_GB2312" w:hAnsi="仿宋_GB2312" w:eastAsia="仿宋_GB2312" w:cs="仿宋_GB2312"/>
          <w:bCs/>
          <w:color w:val="000000"/>
          <w:kern w:val="2"/>
          <w:sz w:val="32"/>
          <w:szCs w:val="32"/>
          <w:lang w:val="en-US" w:eastAsia="zh-CN"/>
        </w:rPr>
        <w:t>进一步增强党员干部心中有戒、行有所指的自觉性</w:t>
      </w:r>
      <w:r>
        <w:rPr>
          <w:rFonts w:hint="eastAsia" w:ascii="仿宋_GB2312" w:hAnsi="仿宋_GB2312" w:eastAsia="仿宋_GB2312" w:cs="仿宋_GB2312"/>
          <w:bCs/>
          <w:color w:val="000000"/>
          <w:kern w:val="2"/>
          <w:sz w:val="32"/>
          <w:szCs w:val="32"/>
        </w:rPr>
        <w:t>。</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绩效评价工作开展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1、评价组织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根据桥西区财政局</w:t>
      </w:r>
      <w:bookmarkStart w:id="1" w:name="flow_name"/>
      <w:r>
        <w:rPr>
          <w:rFonts w:hint="eastAsia" w:ascii="仿宋_GB2312" w:hAnsi="仿宋_GB2312" w:eastAsia="仿宋_GB2312" w:cs="仿宋_GB2312"/>
          <w:color w:val="000000"/>
          <w:sz w:val="32"/>
          <w:szCs w:val="32"/>
        </w:rPr>
        <w:t>印发的《</w:t>
      </w:r>
      <w:bookmarkEnd w:id="1"/>
      <w:r>
        <w:rPr>
          <w:rFonts w:hint="eastAsia" w:ascii="仿宋_GB2312" w:hAnsi="仿宋_GB2312" w:eastAsia="仿宋_GB2312" w:cs="仿宋_GB2312"/>
          <w:color w:val="000000"/>
          <w:sz w:val="32"/>
          <w:szCs w:val="32"/>
        </w:rPr>
        <w:t>桥西区部门预算绩效管理工作考核办法（试行）》（西财字〔2020〕87号）和《桥西区财政局关于开展2020年度部门整体支出自评及项目支出自评的通知》（</w:t>
      </w:r>
      <w:r>
        <w:rPr>
          <w:rFonts w:hint="eastAsia" w:ascii="仿宋_GB2312" w:eastAsia="仿宋_GB2312"/>
          <w:sz w:val="32"/>
        </w:rPr>
        <w:t>西财字〔</w:t>
      </w:r>
      <w:bookmarkStart w:id="2" w:name="year_now"/>
      <w:r>
        <w:rPr>
          <w:rFonts w:ascii="仿宋_GB2312" w:eastAsia="仿宋_GB2312"/>
          <w:sz w:val="32"/>
        </w:rPr>
        <w:t>20</w:t>
      </w:r>
      <w:bookmarkEnd w:id="2"/>
      <w:r>
        <w:rPr>
          <w:rFonts w:hint="eastAsia" w:ascii="仿宋_GB2312" w:eastAsia="仿宋_GB2312"/>
          <w:sz w:val="32"/>
        </w:rPr>
        <w:t>21〕15号</w:t>
      </w:r>
      <w:r>
        <w:rPr>
          <w:rFonts w:hint="eastAsia" w:ascii="仿宋_GB2312" w:hAnsi="仿宋_GB2312" w:eastAsia="仿宋_GB2312" w:cs="仿宋_GB2312"/>
          <w:color w:val="000000"/>
          <w:sz w:val="32"/>
          <w:szCs w:val="32"/>
        </w:rPr>
        <w:t>）文件要求，</w:t>
      </w:r>
      <w:r>
        <w:rPr>
          <w:rFonts w:hint="eastAsia" w:ascii="仿宋_GB2312" w:hAnsi="仿宋_GB2312" w:eastAsia="仿宋_GB2312" w:cs="仿宋_GB2312"/>
          <w:sz w:val="32"/>
          <w:szCs w:val="32"/>
        </w:rPr>
        <w:t>我单位领导高度重视，组织我单位工作人员认真学习文件精神，认真开展自评工作。指示通过此次自评工作，了解我单位资金使用情况，找出经验和不足，为完善以后的资金管理，提高资金使用效益提供重要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2、评价方法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我部门对预算执行情况、预算管理、职责履行、履职效益、基本支出、项目支出、机构编制和厉行节约保障措施等方面的执行情况进行了自评，形成评价结论。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3、评价结果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rPr>
      </w:pPr>
      <w:r>
        <w:rPr>
          <w:rFonts w:hint="eastAsia" w:ascii="仿宋_GB2312" w:eastAsia="仿宋_GB2312"/>
          <w:sz w:val="32"/>
        </w:rPr>
        <w:t>2020年底部门整体支出绩效评价总体得分96分，其中预算编制管理部分得分26分、预算执行管理部分得分33分、监督评价部分得分14分、履职产出部分得分14分、履职效果部分得分9分。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我委</w:t>
      </w:r>
      <w:r>
        <w:rPr>
          <w:rFonts w:hint="eastAsia" w:ascii="仿宋_GB2312" w:hAnsi="仿宋_GB2312" w:eastAsia="仿宋_GB2312" w:cs="仿宋_GB2312"/>
          <w:color w:val="000000"/>
          <w:sz w:val="32"/>
          <w:szCs w:val="32"/>
        </w:rPr>
        <w:t>能够按照国家的法律法规加强预算管理，不断完善内控制度，取得了较好的预算执行效果。认真地完成了2020年部门预算和决算汇总工作，财务管理和会计基础工作日益完善，但仍存在一些问题，应在今后加以纠正</w:t>
      </w:r>
      <w:bookmarkStart w:id="3" w:name="_GoBack"/>
      <w:bookmarkEnd w:id="3"/>
      <w:r>
        <w:rPr>
          <w:rFonts w:hint="eastAsia" w:ascii="仿宋_GB2312" w:hAnsi="仿宋_GB2312" w:eastAsia="仿宋_GB2312" w:cs="仿宋_GB2312"/>
          <w:color w:val="000000"/>
          <w:sz w:val="32"/>
          <w:szCs w:val="32"/>
        </w:rPr>
        <w:t>和改进，更加合理合规。</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评价情况</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１、预算编制情况</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（１）预算编制质量：本环节得分</w:t>
      </w:r>
      <w:r>
        <w:rPr>
          <w:rFonts w:hint="eastAsia" w:ascii="仿宋" w:hAnsi="仿宋" w:eastAsia="仿宋"/>
          <w:b w:val="0"/>
          <w:bCs/>
          <w:sz w:val="32"/>
          <w:szCs w:val="32"/>
          <w:lang w:val="en-US" w:eastAsia="zh-CN"/>
        </w:rPr>
        <w:t>9</w:t>
      </w:r>
      <w:r>
        <w:rPr>
          <w:rFonts w:hint="eastAsia" w:ascii="仿宋" w:hAnsi="仿宋" w:eastAsia="仿宋"/>
          <w:b w:val="0"/>
          <w:bCs/>
          <w:sz w:val="32"/>
          <w:szCs w:val="32"/>
        </w:rPr>
        <w:t>分，我局收到区财政局拨付的各类专项资金，全部纳入到预算管理范围，项目全部细化到经济分类。</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（２）预算配置情况：本环节得分</w:t>
      </w:r>
      <w:r>
        <w:rPr>
          <w:rFonts w:hint="eastAsia" w:ascii="仿宋" w:hAnsi="仿宋" w:eastAsia="仿宋"/>
          <w:b w:val="0"/>
          <w:bCs/>
          <w:sz w:val="32"/>
          <w:szCs w:val="32"/>
          <w:lang w:val="en-US" w:eastAsia="zh-CN"/>
        </w:rPr>
        <w:t>10</w:t>
      </w:r>
      <w:r>
        <w:rPr>
          <w:rFonts w:hint="eastAsia" w:ascii="仿宋" w:hAnsi="仿宋" w:eastAsia="仿宋"/>
          <w:b w:val="0"/>
          <w:bCs/>
          <w:sz w:val="32"/>
          <w:szCs w:val="32"/>
        </w:rPr>
        <w:t>分，各专项资金均按照支出需求填报。</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（3）预算绩效目标管理情况：本环节得分</w:t>
      </w:r>
      <w:r>
        <w:rPr>
          <w:rFonts w:hint="eastAsia" w:ascii="仿宋" w:hAnsi="仿宋" w:eastAsia="仿宋"/>
          <w:b w:val="0"/>
          <w:bCs/>
          <w:sz w:val="32"/>
          <w:szCs w:val="32"/>
          <w:lang w:val="en-US" w:eastAsia="zh-CN"/>
        </w:rPr>
        <w:t>7</w:t>
      </w:r>
      <w:r>
        <w:rPr>
          <w:rFonts w:hint="eastAsia" w:ascii="仿宋" w:hAnsi="仿宋" w:eastAsia="仿宋"/>
          <w:b w:val="0"/>
          <w:bCs/>
          <w:sz w:val="32"/>
          <w:szCs w:val="32"/>
        </w:rPr>
        <w:t>分，根据本单位工作职责、工作活动进行绩效指标编制，并在工作活动下编制项目支出，提高项目产出及效果。但由于绩效知识了解还有欠缺，存在一定的问题，下一步将加大绩效编制的学习，更进一步完成绩效相关工作。</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2、预算执行情况</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（１）预算执行：本环节得分</w:t>
      </w:r>
      <w:r>
        <w:rPr>
          <w:rFonts w:hint="eastAsia" w:ascii="仿宋" w:hAnsi="仿宋" w:eastAsia="仿宋"/>
          <w:b w:val="0"/>
          <w:bCs/>
          <w:sz w:val="32"/>
          <w:szCs w:val="32"/>
          <w:lang w:val="en-US" w:eastAsia="zh-CN"/>
        </w:rPr>
        <w:t>17.3</w:t>
      </w:r>
      <w:r>
        <w:rPr>
          <w:rFonts w:hint="eastAsia" w:ascii="仿宋" w:hAnsi="仿宋" w:eastAsia="仿宋"/>
          <w:b w:val="0"/>
          <w:bCs/>
          <w:sz w:val="32"/>
          <w:szCs w:val="32"/>
        </w:rPr>
        <w:t>分，根据本单位开展活动需要编制预算，由于突发性工作考虑不周，导致预算执行有差异，今后应进一步完善各项目的前瞻性，以致预算执行更为准确。</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（２）预算管理：本环节得分</w:t>
      </w:r>
      <w:r>
        <w:rPr>
          <w:rFonts w:hint="eastAsia" w:ascii="仿宋" w:hAnsi="仿宋" w:eastAsia="仿宋"/>
          <w:b w:val="0"/>
          <w:bCs/>
          <w:sz w:val="32"/>
          <w:szCs w:val="32"/>
          <w:lang w:val="en-US" w:eastAsia="zh-CN"/>
        </w:rPr>
        <w:t>8.2</w:t>
      </w:r>
      <w:r>
        <w:rPr>
          <w:rFonts w:hint="eastAsia" w:ascii="仿宋" w:hAnsi="仿宋" w:eastAsia="仿宋"/>
          <w:b w:val="0"/>
          <w:bCs/>
          <w:sz w:val="32"/>
          <w:szCs w:val="32"/>
        </w:rPr>
        <w:t>分，本单位预算全部按照相关规定严格管理，建立健全管理制度，在重大项目上考虑有所欠缺，下一步加强重大项目的评估论证。</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（３）资产管理：本环节得分</w:t>
      </w:r>
      <w:r>
        <w:rPr>
          <w:rFonts w:hint="eastAsia" w:ascii="仿宋" w:hAnsi="仿宋" w:eastAsia="仿宋"/>
          <w:b w:val="0"/>
          <w:bCs/>
          <w:sz w:val="32"/>
          <w:szCs w:val="32"/>
          <w:lang w:val="en-US" w:eastAsia="zh-CN"/>
        </w:rPr>
        <w:t>5</w:t>
      </w:r>
      <w:r>
        <w:rPr>
          <w:rFonts w:hint="eastAsia" w:ascii="仿宋" w:hAnsi="仿宋" w:eastAsia="仿宋"/>
          <w:b w:val="0"/>
          <w:bCs/>
          <w:sz w:val="32"/>
          <w:szCs w:val="32"/>
        </w:rPr>
        <w:t>分，本单位通过政府采购进行资产购置，并新购固定资产。在</w:t>
      </w:r>
      <w:r>
        <w:rPr>
          <w:rFonts w:hint="eastAsia" w:ascii="仿宋" w:hAnsi="仿宋" w:eastAsia="仿宋"/>
          <w:b w:val="0"/>
          <w:bCs/>
          <w:sz w:val="32"/>
          <w:szCs w:val="32"/>
          <w:lang w:eastAsia="zh-CN"/>
        </w:rPr>
        <w:t>资产处置</w:t>
      </w:r>
      <w:r>
        <w:rPr>
          <w:rFonts w:hint="eastAsia" w:ascii="仿宋" w:hAnsi="仿宋" w:eastAsia="仿宋"/>
          <w:b w:val="0"/>
          <w:bCs/>
          <w:sz w:val="32"/>
          <w:szCs w:val="32"/>
        </w:rPr>
        <w:t>时，均填报资产</w:t>
      </w:r>
      <w:r>
        <w:rPr>
          <w:rFonts w:hint="eastAsia" w:ascii="仿宋" w:hAnsi="仿宋" w:eastAsia="仿宋"/>
          <w:b w:val="0"/>
          <w:bCs/>
          <w:sz w:val="32"/>
          <w:szCs w:val="32"/>
          <w:lang w:eastAsia="zh-CN"/>
        </w:rPr>
        <w:t>处置</w:t>
      </w:r>
      <w:r>
        <w:rPr>
          <w:rFonts w:hint="eastAsia" w:ascii="仿宋" w:hAnsi="仿宋" w:eastAsia="仿宋"/>
          <w:b w:val="0"/>
          <w:bCs/>
          <w:sz w:val="32"/>
          <w:szCs w:val="32"/>
        </w:rPr>
        <w:t>单报区财政局国资科审批后</w:t>
      </w:r>
      <w:r>
        <w:rPr>
          <w:rFonts w:hint="eastAsia" w:ascii="仿宋" w:hAnsi="仿宋" w:eastAsia="仿宋"/>
          <w:b w:val="0"/>
          <w:bCs/>
          <w:sz w:val="32"/>
          <w:szCs w:val="32"/>
          <w:lang w:eastAsia="zh-CN"/>
        </w:rPr>
        <w:t>进行处置</w:t>
      </w:r>
      <w:r>
        <w:rPr>
          <w:rFonts w:hint="eastAsia" w:ascii="仿宋" w:hAnsi="仿宋" w:eastAsia="仿宋"/>
          <w:b w:val="0"/>
          <w:bCs/>
          <w:sz w:val="32"/>
          <w:szCs w:val="32"/>
        </w:rPr>
        <w:t>。</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（４）预算绩效监控管理：本环节得分2</w:t>
      </w:r>
      <w:r>
        <w:rPr>
          <w:rFonts w:hint="eastAsia" w:ascii="仿宋" w:hAnsi="仿宋" w:eastAsia="仿宋"/>
          <w:b w:val="0"/>
          <w:bCs/>
          <w:sz w:val="32"/>
          <w:szCs w:val="32"/>
          <w:lang w:val="en-US" w:eastAsia="zh-CN"/>
        </w:rPr>
        <w:t>.5</w:t>
      </w:r>
      <w:r>
        <w:rPr>
          <w:rFonts w:hint="eastAsia" w:ascii="仿宋" w:hAnsi="仿宋" w:eastAsia="仿宋"/>
          <w:b w:val="0"/>
          <w:bCs/>
          <w:sz w:val="32"/>
          <w:szCs w:val="32"/>
        </w:rPr>
        <w:t>分，按照区政府相关文件及中央、省、市专项资金管理办法要求，进行资金监管，达到规定绩效目标的预期效果。</w:t>
      </w:r>
    </w:p>
    <w:p>
      <w:pPr>
        <w:numPr>
          <w:ilvl w:val="0"/>
          <w:numId w:val="3"/>
        </w:numPr>
        <w:rPr>
          <w:rFonts w:hint="eastAsia" w:ascii="仿宋" w:hAnsi="仿宋" w:eastAsia="仿宋"/>
          <w:b w:val="0"/>
          <w:bCs/>
          <w:sz w:val="32"/>
          <w:szCs w:val="32"/>
        </w:rPr>
      </w:pPr>
      <w:r>
        <w:rPr>
          <w:rFonts w:hint="eastAsia" w:ascii="仿宋" w:hAnsi="仿宋" w:eastAsia="仿宋"/>
          <w:b w:val="0"/>
          <w:bCs/>
          <w:sz w:val="32"/>
          <w:szCs w:val="32"/>
        </w:rPr>
        <w:t>监督评价情况</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（１）监督管理情况：本环节得分4分，按照资金管理监督办法，本单位的项目资金全部合理、合法使用，不存在挤占、挪用，无违规操作。</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２）绩效评价情况：本环节得分6.5分，本单位绩效全部符合绩效评价管理办法和操作规范，但缺乏自主组织开展绩效评价以及对下级预算单位开展整体支出绩效评价的考核，今后将拓展绩效评价模式，扩大绩效评价范围。</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(3) 评价结果应用情况: 本环节得分3.</w:t>
      </w:r>
      <w:r>
        <w:rPr>
          <w:rFonts w:hint="eastAsia" w:ascii="仿宋" w:hAnsi="仿宋" w:eastAsia="仿宋"/>
          <w:b w:val="0"/>
          <w:bCs/>
          <w:sz w:val="32"/>
          <w:szCs w:val="32"/>
          <w:lang w:val="en-US" w:eastAsia="zh-CN"/>
        </w:rPr>
        <w:t>5</w:t>
      </w:r>
      <w:r>
        <w:rPr>
          <w:rFonts w:hint="eastAsia" w:ascii="仿宋" w:hAnsi="仿宋" w:eastAsia="仿宋"/>
          <w:b w:val="0"/>
          <w:bCs/>
          <w:sz w:val="32"/>
          <w:szCs w:val="32"/>
        </w:rPr>
        <w:t>分,本单位所开展项目，均按照监督管理要求执行，其应用广泛程度还需进一步完善提高。</w:t>
      </w:r>
    </w:p>
    <w:p>
      <w:pPr>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 xml:space="preserve">    </w:t>
      </w:r>
      <w:r>
        <w:rPr>
          <w:rFonts w:hint="eastAsia" w:ascii="仿宋" w:hAnsi="仿宋" w:eastAsia="仿宋"/>
          <w:b w:val="0"/>
          <w:bCs/>
          <w:sz w:val="32"/>
          <w:szCs w:val="32"/>
        </w:rPr>
        <w:t>４、履职产出情况：本环节得分1</w:t>
      </w:r>
      <w:r>
        <w:rPr>
          <w:rFonts w:hint="eastAsia" w:ascii="仿宋" w:hAnsi="仿宋" w:eastAsia="仿宋"/>
          <w:b w:val="0"/>
          <w:bCs/>
          <w:sz w:val="32"/>
          <w:szCs w:val="32"/>
          <w:lang w:val="en-US" w:eastAsia="zh-CN"/>
        </w:rPr>
        <w:t>4</w:t>
      </w:r>
      <w:r>
        <w:rPr>
          <w:rFonts w:hint="eastAsia" w:ascii="仿宋" w:hAnsi="仿宋" w:eastAsia="仿宋"/>
          <w:b w:val="0"/>
          <w:bCs/>
          <w:sz w:val="32"/>
          <w:szCs w:val="32"/>
        </w:rPr>
        <w:t>分，本单位所开展的项目全部符合绩效主要评价指标，</w:t>
      </w:r>
      <w:r>
        <w:rPr>
          <w:rFonts w:hint="eastAsia" w:ascii="仿宋" w:hAnsi="仿宋" w:eastAsia="仿宋"/>
          <w:b w:val="0"/>
          <w:bCs/>
          <w:sz w:val="32"/>
          <w:szCs w:val="32"/>
          <w:lang w:eastAsia="zh-CN"/>
        </w:rPr>
        <w:t>均</w:t>
      </w:r>
      <w:r>
        <w:rPr>
          <w:rFonts w:hint="eastAsia" w:ascii="仿宋" w:hAnsi="仿宋" w:eastAsia="仿宋"/>
          <w:b w:val="0"/>
          <w:bCs/>
          <w:sz w:val="32"/>
          <w:szCs w:val="32"/>
        </w:rPr>
        <w:t>贯彻落实</w:t>
      </w:r>
      <w:r>
        <w:rPr>
          <w:rFonts w:hint="eastAsia" w:ascii="仿宋" w:hAnsi="仿宋" w:eastAsia="仿宋"/>
          <w:b w:val="0"/>
          <w:bCs/>
          <w:sz w:val="32"/>
          <w:szCs w:val="32"/>
          <w:lang w:eastAsia="zh-CN"/>
        </w:rPr>
        <w:t>国家、</w:t>
      </w:r>
      <w:r>
        <w:rPr>
          <w:rFonts w:hint="eastAsia" w:ascii="仿宋" w:hAnsi="仿宋" w:eastAsia="仿宋"/>
          <w:b w:val="0"/>
          <w:bCs/>
          <w:sz w:val="32"/>
          <w:szCs w:val="32"/>
        </w:rPr>
        <w:t>省</w:t>
      </w:r>
      <w:r>
        <w:rPr>
          <w:rFonts w:hint="eastAsia" w:ascii="仿宋" w:hAnsi="仿宋" w:eastAsia="仿宋"/>
          <w:b w:val="0"/>
          <w:bCs/>
          <w:sz w:val="32"/>
          <w:szCs w:val="32"/>
          <w:lang w:eastAsia="zh-CN"/>
        </w:rPr>
        <w:t>、市及区政府的要求进行普查和各项调查工作，调查单位的认可和配合，提供的数据科学准确反映全区统计监测导向作用。为我区的经济情况提供有力的数据保证，</w:t>
      </w:r>
      <w:r>
        <w:rPr>
          <w:rFonts w:hint="eastAsia" w:ascii="仿宋" w:hAnsi="仿宋" w:eastAsia="仿宋"/>
          <w:b w:val="0"/>
          <w:bCs/>
          <w:sz w:val="32"/>
          <w:szCs w:val="32"/>
        </w:rPr>
        <w:t>为各级领导决策提供可靠依据</w:t>
      </w:r>
      <w:r>
        <w:rPr>
          <w:rFonts w:hint="eastAsia" w:ascii="仿宋" w:hAnsi="仿宋" w:eastAsia="仿宋"/>
          <w:b w:val="0"/>
          <w:bCs/>
          <w:sz w:val="32"/>
          <w:szCs w:val="32"/>
          <w:lang w:eastAsia="zh-CN"/>
        </w:rPr>
        <w:t>。</w:t>
      </w:r>
    </w:p>
    <w:p>
      <w:pPr>
        <w:numPr>
          <w:ilvl w:val="0"/>
          <w:numId w:val="0"/>
        </w:numPr>
        <w:snapToGrid w:val="0"/>
        <w:spacing w:line="360" w:lineRule="auto"/>
        <w:ind w:leftChars="0" w:firstLine="642"/>
        <w:rPr>
          <w:rFonts w:hint="eastAsia" w:ascii="仿宋" w:hAnsi="仿宋" w:eastAsia="仿宋"/>
          <w:sz w:val="32"/>
          <w:szCs w:val="32"/>
          <w:lang w:eastAsia="zh-CN"/>
        </w:rPr>
      </w:pPr>
      <w:r>
        <w:rPr>
          <w:rFonts w:hint="eastAsia" w:ascii="仿宋" w:hAnsi="仿宋" w:eastAsia="仿宋"/>
          <w:b w:val="0"/>
          <w:bCs/>
          <w:sz w:val="32"/>
          <w:szCs w:val="32"/>
        </w:rPr>
        <w:t>５、履职效果情况：本环节得分</w:t>
      </w:r>
      <w:r>
        <w:rPr>
          <w:rFonts w:hint="eastAsia" w:ascii="仿宋" w:hAnsi="仿宋" w:eastAsia="仿宋"/>
          <w:b w:val="0"/>
          <w:bCs/>
          <w:sz w:val="32"/>
          <w:szCs w:val="32"/>
          <w:lang w:val="en-US" w:eastAsia="zh-CN"/>
        </w:rPr>
        <w:t>9</w:t>
      </w:r>
      <w:r>
        <w:rPr>
          <w:rFonts w:hint="eastAsia" w:ascii="仿宋" w:hAnsi="仿宋" w:eastAsia="仿宋"/>
          <w:b w:val="0"/>
          <w:bCs/>
          <w:sz w:val="32"/>
          <w:szCs w:val="32"/>
        </w:rPr>
        <w:t>分，,本单位所开展的项目活动，</w:t>
      </w:r>
      <w:r>
        <w:rPr>
          <w:rFonts w:hint="eastAsia" w:ascii="仿宋" w:hAnsi="仿宋" w:eastAsia="仿宋"/>
          <w:b w:val="0"/>
          <w:bCs/>
          <w:sz w:val="32"/>
          <w:szCs w:val="32"/>
          <w:lang w:eastAsia="zh-CN"/>
        </w:rPr>
        <w:t>进一步完善各项体系，推动调查制度建设，提高科技统计工作水平，为制定政策、监测、评估地区体系和城市建设进程提供依据。</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存在的问题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１、预算编制方面存在的问题是重点项目支出安排率低，主要原因是重点项目并非一次性项目，近几年都会开展，资金支出较为分散。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２、预算执行方面存在的问题是一般性支出压缩率低，公用经费控制率低，主要原因是单位临时性工作增加较多。</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３、预算管理方面存在的问题是部门预决算差异率大，主要原因是中央、省、市三级拨款资金未列入预算管理。</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整改建议</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１、预算编制以单位实际情况为主，合理安排预算资金，确保预算资金使用规范、安全、高效。</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２、严格控制预算总额，适量压减机关运行经费开支，确保只减不增。</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３、合理编制预算计划,完整编制预算收入和支出,缩小部门算和决算的差距,保证预算编制和执行的一致性。</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4、充分利用绩效评价结果,提高绩效自评报告质量,推动项目全面高效地完成。</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A003C"/>
    <w:multiLevelType w:val="singleLevel"/>
    <w:tmpl w:val="9EEA003C"/>
    <w:lvl w:ilvl="0" w:tentative="0">
      <w:start w:val="3"/>
      <w:numFmt w:val="decimal"/>
      <w:suff w:val="nothing"/>
      <w:lvlText w:val="%1、"/>
      <w:lvlJc w:val="left"/>
    </w:lvl>
  </w:abstractNum>
  <w:abstractNum w:abstractNumId="1">
    <w:nsid w:val="3127754E"/>
    <w:multiLevelType w:val="multilevel"/>
    <w:tmpl w:val="3127754E"/>
    <w:lvl w:ilvl="0" w:tentative="0">
      <w:start w:val="3"/>
      <w:numFmt w:val="decimalFullWidth"/>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6051D7DC"/>
    <w:multiLevelType w:val="singleLevel"/>
    <w:tmpl w:val="6051D7DC"/>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A20D5"/>
    <w:rsid w:val="000523CF"/>
    <w:rsid w:val="00064B15"/>
    <w:rsid w:val="000D1540"/>
    <w:rsid w:val="00103DF9"/>
    <w:rsid w:val="00177EB5"/>
    <w:rsid w:val="0018407A"/>
    <w:rsid w:val="0018571F"/>
    <w:rsid w:val="001A20D5"/>
    <w:rsid w:val="001B607C"/>
    <w:rsid w:val="001C43EB"/>
    <w:rsid w:val="001E78BA"/>
    <w:rsid w:val="00210E2C"/>
    <w:rsid w:val="00234568"/>
    <w:rsid w:val="0027533A"/>
    <w:rsid w:val="002932D4"/>
    <w:rsid w:val="002A5088"/>
    <w:rsid w:val="002F5BA2"/>
    <w:rsid w:val="003761F6"/>
    <w:rsid w:val="003A2C45"/>
    <w:rsid w:val="003B6938"/>
    <w:rsid w:val="00482B0F"/>
    <w:rsid w:val="0054515B"/>
    <w:rsid w:val="005A1381"/>
    <w:rsid w:val="005A74F7"/>
    <w:rsid w:val="005D52C5"/>
    <w:rsid w:val="00620D9D"/>
    <w:rsid w:val="00656AF0"/>
    <w:rsid w:val="00704EA4"/>
    <w:rsid w:val="00763913"/>
    <w:rsid w:val="00782EAF"/>
    <w:rsid w:val="00783B48"/>
    <w:rsid w:val="007B6534"/>
    <w:rsid w:val="007D33D2"/>
    <w:rsid w:val="008A5969"/>
    <w:rsid w:val="009969D7"/>
    <w:rsid w:val="009B4419"/>
    <w:rsid w:val="00A15CE0"/>
    <w:rsid w:val="00A23664"/>
    <w:rsid w:val="00AC7C0C"/>
    <w:rsid w:val="00AD532D"/>
    <w:rsid w:val="00AE5252"/>
    <w:rsid w:val="00B5431C"/>
    <w:rsid w:val="00BA294A"/>
    <w:rsid w:val="00BA2F7A"/>
    <w:rsid w:val="00BC6363"/>
    <w:rsid w:val="00BD7AD4"/>
    <w:rsid w:val="00C4421D"/>
    <w:rsid w:val="00C47D1B"/>
    <w:rsid w:val="00CD1E4F"/>
    <w:rsid w:val="00CF66A3"/>
    <w:rsid w:val="00D46035"/>
    <w:rsid w:val="00DB40C6"/>
    <w:rsid w:val="00DE7A13"/>
    <w:rsid w:val="00DF0B07"/>
    <w:rsid w:val="00E23FC4"/>
    <w:rsid w:val="00E715C8"/>
    <w:rsid w:val="00EB3D6C"/>
    <w:rsid w:val="00F60BE9"/>
    <w:rsid w:val="00F84299"/>
    <w:rsid w:val="00FA0C73"/>
    <w:rsid w:val="0902578A"/>
    <w:rsid w:val="10AA4D25"/>
    <w:rsid w:val="10F660B5"/>
    <w:rsid w:val="280D6572"/>
    <w:rsid w:val="36FF25EA"/>
    <w:rsid w:val="45A231B3"/>
    <w:rsid w:val="48D82712"/>
    <w:rsid w:val="57BC01E4"/>
    <w:rsid w:val="5B13203D"/>
    <w:rsid w:val="5BAB7DCA"/>
    <w:rsid w:val="63887EDE"/>
    <w:rsid w:val="776B4530"/>
    <w:rsid w:val="7976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1"/>
    <w:basedOn w:val="1"/>
    <w:qFormat/>
    <w:uiPriority w:val="0"/>
    <w:pPr>
      <w:widowControl/>
    </w:pPr>
    <w:rPr>
      <w:rFonts w:ascii="Times New Roman" w:hAnsi="Times New Roman" w:eastAsia="Times New Roman" w:cs="Times New Roman"/>
      <w:kern w:val="0"/>
      <w:szCs w:val="20"/>
      <w:lang w:eastAsia="en-US"/>
    </w:rPr>
  </w:style>
  <w:style w:type="paragraph" w:customStyle="1" w:styleId="8">
    <w:name w:val="p0"/>
    <w:basedOn w:val="7"/>
    <w:qFormat/>
    <w:uiPriority w:val="0"/>
    <w:pPr>
      <w:spacing w:line="365" w:lineRule="atLeast"/>
      <w:ind w:left="1"/>
    </w:pPr>
    <w:rPr>
      <w:sz w:val="20"/>
    </w:rPr>
  </w:style>
  <w:style w:type="character" w:customStyle="1" w:styleId="9">
    <w:name w:val="页眉 Char"/>
    <w:basedOn w:val="6"/>
    <w:link w:val="4"/>
    <w:qFormat/>
    <w:uiPriority w:val="0"/>
    <w:rPr>
      <w:rFonts w:ascii="Calibri" w:hAnsi="Calibri" w:cs="黑体"/>
      <w:kern w:val="2"/>
      <w:sz w:val="18"/>
      <w:szCs w:val="18"/>
    </w:rPr>
  </w:style>
  <w:style w:type="character" w:customStyle="1" w:styleId="10">
    <w:name w:val="页脚 Char"/>
    <w:basedOn w:val="6"/>
    <w:link w:val="3"/>
    <w:qFormat/>
    <w:uiPriority w:val="0"/>
    <w:rPr>
      <w:rFonts w:ascii="Calibri" w:hAnsi="Calibri" w:cs="黑体"/>
      <w:kern w:val="2"/>
      <w:sz w:val="18"/>
      <w:szCs w:val="18"/>
    </w:rPr>
  </w:style>
  <w:style w:type="character" w:customStyle="1" w:styleId="11">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768</Words>
  <Characters>4382</Characters>
  <Lines>36</Lines>
  <Paragraphs>10</Paragraphs>
  <TotalTime>6</TotalTime>
  <ScaleCrop>false</ScaleCrop>
  <LinksUpToDate>false</LinksUpToDate>
  <CharactersWithSpaces>5140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2021-04-08T09:48:00Z</dcterms:created>
  <dc:creator>Administrator</dc:creator>
  <cp:lastModifiedBy>Administrator</cp:lastModifiedBy>
  <cp:lastPrinted>2021-04-16T08:01:00Z</cp:lastPrinted>
  <dcterms:modified xsi:type="dcterms:W3CDTF">2021-04-21T09:36:57Z</dcterms:modified>
  <dc:title>附件1</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1E7C9F6F326C4623AA42F5A39B63807B</vt:lpwstr>
  </property>
</Properties>
</file>